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4EF7C3FE" w14:textId="484ACC9F" w:rsidR="00693D60" w:rsidRPr="007A76DF" w:rsidRDefault="00626C10" w:rsidP="0069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Mobile Device Accessibility</w:t>
      </w:r>
    </w:p>
    <w:p w14:paraId="1226C1A4" w14:textId="3BE2369D" w:rsidR="00693D60" w:rsidRPr="007A76DF" w:rsidRDefault="00626C10" w:rsidP="0069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22</w:t>
      </w:r>
      <w:r w:rsidR="00693D60" w:rsidRPr="007A76DF">
        <w:rPr>
          <w:b/>
          <w:sz w:val="36"/>
          <w:szCs w:val="36"/>
        </w:rPr>
        <w:t>, 2025</w:t>
      </w:r>
    </w:p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66B0A546" w14:textId="6EDA9A7F" w:rsidR="00693D60" w:rsidRPr="007A76DF" w:rsidRDefault="00626C10" w:rsidP="00693D6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>Mobile Device Accessibility</w:t>
      </w:r>
    </w:p>
    <w:p w14:paraId="21C16ABD" w14:textId="6E2638FB" w:rsidR="00693D60" w:rsidRPr="007A76DF" w:rsidRDefault="00626C10" w:rsidP="00693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22</w:t>
      </w:r>
      <w:r w:rsidR="00693D60" w:rsidRPr="007A76DF">
        <w:rPr>
          <w:b/>
          <w:sz w:val="36"/>
          <w:szCs w:val="36"/>
        </w:rPr>
        <w:t>, 2025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811768" w14:textId="5C0BD0EF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>Guided Access allows the user to have a voice guide them through the settings on their iOS device?</w:t>
      </w:r>
      <w:r>
        <w:rPr>
          <w:rFonts w:ascii="Arial Nova" w:hAnsi="Arial Nova"/>
          <w:color w:val="242424"/>
          <w:bdr w:val="none" w:sz="0" w:space="0" w:color="auto" w:frame="1"/>
        </w:rPr>
        <w:t xml:space="preserve">    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</w:t>
      </w:r>
      <w:r>
        <w:rPr>
          <w:rFonts w:ascii="Arial Nova" w:hAnsi="Arial Nova"/>
          <w:color w:val="242424"/>
          <w:bdr w:val="none" w:sz="0" w:space="0" w:color="auto" w:frame="1"/>
        </w:rPr>
        <w:t>____</w:t>
      </w: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</w:t>
      </w:r>
      <w:r>
        <w:rPr>
          <w:rFonts w:ascii="Arial Nova" w:hAnsi="Arial Nova"/>
          <w:color w:val="242424"/>
          <w:bdr w:val="none" w:sz="0" w:space="0" w:color="auto" w:frame="1"/>
        </w:rPr>
        <w:tab/>
        <w:t>_</w:t>
      </w:r>
      <w:proofErr w:type="gramEnd"/>
      <w:r>
        <w:rPr>
          <w:rFonts w:ascii="Arial Nova" w:hAnsi="Arial Nova"/>
          <w:color w:val="242424"/>
          <w:bdr w:val="none" w:sz="0" w:space="0" w:color="auto" w:frame="1"/>
        </w:rPr>
        <w:t>___</w:t>
      </w:r>
      <w:r w:rsidRPr="00626C10">
        <w:rPr>
          <w:rFonts w:ascii="Arial Nova" w:hAnsi="Arial Nova"/>
          <w:color w:val="000000" w:themeColor="text1"/>
          <w:bdr w:val="none" w:sz="0" w:space="0" w:color="auto" w:frame="1"/>
        </w:rPr>
        <w:t xml:space="preserve">False 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   </w:t>
      </w:r>
    </w:p>
    <w:p w14:paraId="632E3A32" w14:textId="77777777" w:rsidR="00626C10" w:rsidRPr="00626C10" w:rsidRDefault="00626C10" w:rsidP="00626C10">
      <w:pPr>
        <w:pStyle w:val="ListParagraph"/>
        <w:shd w:val="clear" w:color="auto" w:fill="FFFFFF"/>
        <w:contextualSpacing/>
        <w:rPr>
          <w:rFonts w:ascii="Arial Nova" w:hAnsi="Arial Nova"/>
          <w:color w:val="242424"/>
        </w:rPr>
      </w:pPr>
    </w:p>
    <w:p w14:paraId="3E5C05FD" w14:textId="77777777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Personal Voice creates a voice that sounds like the user and can be used in Live Speech, Spoken Content, </w:t>
      </w:r>
      <w:proofErr w:type="spellStart"/>
      <w:r w:rsidRPr="00626C10">
        <w:rPr>
          <w:rFonts w:ascii="Arial Nova" w:hAnsi="Arial Nova"/>
          <w:color w:val="242424"/>
          <w:bdr w:val="none" w:sz="0" w:space="0" w:color="auto" w:frame="1"/>
        </w:rPr>
        <w:t>VoiceOver</w:t>
      </w:r>
      <w:proofErr w:type="spellEnd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and augmented speech apps? </w:t>
      </w:r>
    </w:p>
    <w:p w14:paraId="6B5EA1C9" w14:textId="51361BBB" w:rsidR="00626C10" w:rsidRDefault="00626C10" w:rsidP="00626C10">
      <w:pPr>
        <w:pStyle w:val="ListParagraph"/>
        <w:ind w:left="1440"/>
        <w:rPr>
          <w:rFonts w:ascii="Arial Nova" w:hAnsi="Arial Nova"/>
          <w:color w:val="242424"/>
          <w:bdr w:val="none" w:sz="0" w:space="0" w:color="auto" w:frame="1"/>
        </w:rPr>
      </w:pPr>
      <w:r>
        <w:rPr>
          <w:rFonts w:ascii="Arial Nova" w:hAnsi="Arial Nova"/>
          <w:color w:val="242424"/>
          <w:bdr w:val="none" w:sz="0" w:space="0" w:color="auto" w:frame="1"/>
        </w:rPr>
        <w:t>_____True</w:t>
      </w:r>
      <w:r>
        <w:rPr>
          <w:rFonts w:ascii="Arial Nova" w:hAnsi="Arial Nova"/>
          <w:color w:val="242424"/>
          <w:bdr w:val="none" w:sz="0" w:space="0" w:color="auto" w:frame="1"/>
        </w:rPr>
        <w:tab/>
        <w:t>_____False</w:t>
      </w:r>
    </w:p>
    <w:p w14:paraId="63D57B9E" w14:textId="77777777" w:rsidR="00626C10" w:rsidRPr="00626C10" w:rsidRDefault="00626C10" w:rsidP="00626C10">
      <w:pPr>
        <w:pStyle w:val="ListParagraph"/>
        <w:ind w:left="1440"/>
        <w:rPr>
          <w:rFonts w:ascii="Arial Nova" w:hAnsi="Arial Nova"/>
          <w:color w:val="242424"/>
          <w:bdr w:val="none" w:sz="0" w:space="0" w:color="auto" w:frame="1"/>
        </w:rPr>
      </w:pPr>
    </w:p>
    <w:p w14:paraId="2A8BE8E6" w14:textId="77777777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Talk Back is the name of the screen reader on Android? </w:t>
      </w:r>
    </w:p>
    <w:p w14:paraId="5A038802" w14:textId="0E5E32CD" w:rsidR="00626C10" w:rsidRDefault="00626C10" w:rsidP="00626C10">
      <w:pPr>
        <w:pStyle w:val="ListParagraph"/>
        <w:shd w:val="clear" w:color="auto" w:fill="FFFFFF"/>
        <w:ind w:firstLine="720"/>
        <w:contextualSpacing/>
        <w:rPr>
          <w:rFonts w:ascii="Arial Nova" w:hAnsi="Arial Nova"/>
          <w:color w:val="242424"/>
          <w:bdr w:val="none" w:sz="0" w:space="0" w:color="auto" w:frame="1"/>
        </w:rPr>
      </w:pPr>
      <w:r>
        <w:rPr>
          <w:rFonts w:ascii="Arial Nova" w:hAnsi="Arial Nova"/>
          <w:color w:val="242424"/>
          <w:bdr w:val="none" w:sz="0" w:space="0" w:color="auto" w:frame="1"/>
        </w:rPr>
        <w:t>_____</w:t>
      </w: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</w:t>
      </w:r>
      <w:r>
        <w:rPr>
          <w:rFonts w:ascii="Arial Nova" w:hAnsi="Arial Nova"/>
          <w:color w:val="242424"/>
          <w:bdr w:val="none" w:sz="0" w:space="0" w:color="auto" w:frame="1"/>
        </w:rPr>
        <w:tab/>
        <w:t>_</w:t>
      </w:r>
      <w:proofErr w:type="gramEnd"/>
      <w:r>
        <w:rPr>
          <w:rFonts w:ascii="Arial Nova" w:hAnsi="Arial Nova"/>
          <w:color w:val="242424"/>
          <w:bdr w:val="none" w:sz="0" w:space="0" w:color="auto" w:frame="1"/>
        </w:rPr>
        <w:t>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>False</w:t>
      </w:r>
    </w:p>
    <w:p w14:paraId="0AD572AE" w14:textId="77777777" w:rsidR="00626C10" w:rsidRPr="00626C10" w:rsidRDefault="00626C10" w:rsidP="00626C10">
      <w:pPr>
        <w:pStyle w:val="ListParagraph"/>
        <w:shd w:val="clear" w:color="auto" w:fill="FFFFFF"/>
        <w:ind w:firstLine="720"/>
        <w:contextualSpacing/>
        <w:rPr>
          <w:rFonts w:ascii="Arial Nova" w:hAnsi="Arial Nova"/>
          <w:color w:val="242424"/>
        </w:rPr>
      </w:pPr>
    </w:p>
    <w:p w14:paraId="6FEBBC45" w14:textId="77777777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>Google Lookout is Google’s version of Seeing AI?</w:t>
      </w:r>
      <w:r>
        <w:rPr>
          <w:rFonts w:ascii="Arial Nova" w:hAnsi="Arial Nova"/>
          <w:color w:val="242424"/>
          <w:bdr w:val="none" w:sz="0" w:space="0" w:color="auto" w:frame="1"/>
        </w:rPr>
        <w:t xml:space="preserve">   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</w:t>
      </w:r>
      <w:r>
        <w:rPr>
          <w:rFonts w:ascii="Arial Nova" w:hAnsi="Arial Nova"/>
          <w:color w:val="242424"/>
          <w:bdr w:val="none" w:sz="0" w:space="0" w:color="auto" w:frame="1"/>
        </w:rPr>
        <w:t>_____</w:t>
      </w: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</w:t>
      </w:r>
      <w:r>
        <w:rPr>
          <w:rFonts w:ascii="Arial Nova" w:hAnsi="Arial Nova"/>
          <w:color w:val="242424"/>
          <w:bdr w:val="none" w:sz="0" w:space="0" w:color="auto" w:frame="1"/>
        </w:rPr>
        <w:tab/>
        <w:t>_</w:t>
      </w:r>
      <w:proofErr w:type="gramEnd"/>
      <w:r>
        <w:rPr>
          <w:rFonts w:ascii="Arial Nova" w:hAnsi="Arial Nova"/>
          <w:color w:val="242424"/>
          <w:bdr w:val="none" w:sz="0" w:space="0" w:color="auto" w:frame="1"/>
        </w:rPr>
        <w:t>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False </w:t>
      </w:r>
    </w:p>
    <w:p w14:paraId="54858A25" w14:textId="69940E0B" w:rsidR="00626C10" w:rsidRPr="00626C10" w:rsidRDefault="00626C10" w:rsidP="00626C10">
      <w:pPr>
        <w:pStyle w:val="ListParagraph"/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</w:t>
      </w:r>
    </w:p>
    <w:p w14:paraId="173061E3" w14:textId="77777777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You must be both visually and hearing impaired to qualify for </w:t>
      </w:r>
      <w:proofErr w:type="spellStart"/>
      <w:r w:rsidRPr="00626C10">
        <w:rPr>
          <w:rFonts w:ascii="Arial Nova" w:hAnsi="Arial Nova"/>
          <w:color w:val="242424"/>
          <w:bdr w:val="none" w:sz="0" w:space="0" w:color="auto" w:frame="1"/>
        </w:rPr>
        <w:t>iCanConnect</w:t>
      </w:r>
      <w:proofErr w:type="spellEnd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? </w:t>
      </w:r>
    </w:p>
    <w:p w14:paraId="3627F0AC" w14:textId="5DA34D8F" w:rsidR="00626C10" w:rsidRPr="00626C10" w:rsidRDefault="00626C10" w:rsidP="00626C10">
      <w:pPr>
        <w:pStyle w:val="ListParagraph"/>
        <w:ind w:left="1440"/>
        <w:rPr>
          <w:rFonts w:ascii="Arial Nova" w:hAnsi="Arial Nova"/>
          <w:color w:val="242424"/>
          <w:bdr w:val="none" w:sz="0" w:space="0" w:color="auto" w:frame="1"/>
        </w:rPr>
      </w:pPr>
      <w:r>
        <w:rPr>
          <w:rFonts w:ascii="Arial Nova" w:hAnsi="Arial Nova"/>
          <w:color w:val="242424"/>
          <w:bdr w:val="none" w:sz="0" w:space="0" w:color="auto" w:frame="1"/>
        </w:rPr>
        <w:t>_____True</w:t>
      </w:r>
      <w:r>
        <w:rPr>
          <w:rFonts w:ascii="Arial Nova" w:hAnsi="Arial Nova"/>
          <w:color w:val="242424"/>
          <w:bdr w:val="none" w:sz="0" w:space="0" w:color="auto" w:frame="1"/>
        </w:rPr>
        <w:tab/>
        <w:t>_____False</w:t>
      </w:r>
    </w:p>
    <w:p w14:paraId="221189FB" w14:textId="547FDBD1" w:rsidR="00626C10" w:rsidRPr="00626C10" w:rsidRDefault="00626C10" w:rsidP="00626C10">
      <w:pPr>
        <w:pStyle w:val="ListParagraph"/>
        <w:shd w:val="clear" w:color="auto" w:fill="FFFFFF"/>
        <w:ind w:hanging="360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</w:t>
      </w:r>
    </w:p>
    <w:p w14:paraId="5D73E78D" w14:textId="77777777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>There is</w:t>
      </w:r>
      <w:proofErr w:type="gramEnd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an income requirement to qualify for </w:t>
      </w:r>
      <w:proofErr w:type="spellStart"/>
      <w:r w:rsidRPr="00626C10">
        <w:rPr>
          <w:rFonts w:ascii="Arial Nova" w:hAnsi="Arial Nova"/>
          <w:color w:val="242424"/>
          <w:bdr w:val="none" w:sz="0" w:space="0" w:color="auto" w:frame="1"/>
        </w:rPr>
        <w:t>iCanConnect</w:t>
      </w:r>
      <w:proofErr w:type="spellEnd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? </w:t>
      </w:r>
      <w:r>
        <w:rPr>
          <w:rFonts w:ascii="Arial Nova" w:hAnsi="Arial Nova"/>
          <w:color w:val="242424"/>
          <w:bdr w:val="none" w:sz="0" w:space="0" w:color="auto" w:frame="1"/>
        </w:rPr>
        <w:t>_____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</w:t>
      </w:r>
      <w:r>
        <w:rPr>
          <w:rFonts w:ascii="Arial Nova" w:hAnsi="Arial Nova"/>
          <w:color w:val="242424"/>
          <w:bdr w:val="none" w:sz="0" w:space="0" w:color="auto" w:frame="1"/>
        </w:rPr>
        <w:t>_____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False </w:t>
      </w:r>
    </w:p>
    <w:p w14:paraId="15E7222D" w14:textId="39BE87FE" w:rsidR="00626C10" w:rsidRPr="00626C10" w:rsidRDefault="00626C10" w:rsidP="00626C10">
      <w:pPr>
        <w:pStyle w:val="ListParagraph"/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</w:t>
      </w:r>
    </w:p>
    <w:p w14:paraId="5F16D078" w14:textId="62E94EA4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>Relay Indiana Service is</w:t>
      </w:r>
      <w:proofErr w:type="gramEnd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 free? </w:t>
      </w:r>
      <w:r>
        <w:rPr>
          <w:rFonts w:ascii="Arial Nova" w:hAnsi="Arial Nova"/>
          <w:color w:val="242424"/>
          <w:bdr w:val="none" w:sz="0" w:space="0" w:color="auto" w:frame="1"/>
        </w:rPr>
        <w:t>_____</w:t>
      </w:r>
      <w:proofErr w:type="gramStart"/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 </w:t>
      </w:r>
      <w:r>
        <w:rPr>
          <w:rFonts w:ascii="Arial Nova" w:hAnsi="Arial Nova"/>
          <w:color w:val="242424"/>
          <w:bdr w:val="none" w:sz="0" w:space="0" w:color="auto" w:frame="1"/>
        </w:rPr>
        <w:t>_</w:t>
      </w:r>
      <w:proofErr w:type="gramEnd"/>
      <w:r>
        <w:rPr>
          <w:rFonts w:ascii="Arial Nova" w:hAnsi="Arial Nova"/>
          <w:color w:val="242424"/>
          <w:bdr w:val="none" w:sz="0" w:space="0" w:color="auto" w:frame="1"/>
        </w:rPr>
        <w:t>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False </w:t>
      </w:r>
    </w:p>
    <w:p w14:paraId="62D64DA6" w14:textId="77777777" w:rsidR="00626C10" w:rsidRPr="00626C10" w:rsidRDefault="00626C10" w:rsidP="00626C10">
      <w:pPr>
        <w:pStyle w:val="ListParagraph"/>
        <w:rPr>
          <w:rFonts w:ascii="Arial Nova" w:hAnsi="Arial Nova"/>
          <w:color w:val="242424"/>
        </w:rPr>
      </w:pPr>
    </w:p>
    <w:p w14:paraId="5E00E176" w14:textId="77777777" w:rsidR="00626C10" w:rsidRPr="00626C10" w:rsidRDefault="00626C10" w:rsidP="00626C10">
      <w:pPr>
        <w:pStyle w:val="ListParagraph"/>
        <w:shd w:val="clear" w:color="auto" w:fill="FFFFFF"/>
        <w:contextualSpacing/>
        <w:rPr>
          <w:rFonts w:ascii="Arial Nova" w:hAnsi="Arial Nova"/>
          <w:color w:val="242424"/>
          <w:sz w:val="2"/>
          <w:szCs w:val="2"/>
        </w:rPr>
      </w:pPr>
    </w:p>
    <w:p w14:paraId="0948674F" w14:textId="106574F3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contextualSpacing/>
        <w:rPr>
          <w:rFonts w:ascii="Arial Nova" w:hAnsi="Arial Nova"/>
          <w:color w:val="242424"/>
        </w:rPr>
      </w:pP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Relay Indiana is only for people who are Deaf? </w:t>
      </w:r>
      <w:r>
        <w:rPr>
          <w:rFonts w:ascii="Arial Nova" w:hAnsi="Arial Nova"/>
          <w:color w:val="242424"/>
          <w:bdr w:val="none" w:sz="0" w:space="0" w:color="auto" w:frame="1"/>
        </w:rPr>
        <w:t>_____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True </w:t>
      </w:r>
      <w:r>
        <w:rPr>
          <w:rFonts w:ascii="Arial Nova" w:hAnsi="Arial Nova"/>
          <w:color w:val="242424"/>
          <w:bdr w:val="none" w:sz="0" w:space="0" w:color="auto" w:frame="1"/>
        </w:rPr>
        <w:t xml:space="preserve">   _____</w:t>
      </w:r>
      <w:r w:rsidRPr="00626C10">
        <w:rPr>
          <w:rFonts w:ascii="Arial Nova" w:hAnsi="Arial Nova"/>
          <w:color w:val="242424"/>
          <w:bdr w:val="none" w:sz="0" w:space="0" w:color="auto" w:frame="1"/>
        </w:rPr>
        <w:t xml:space="preserve">False  </w:t>
      </w:r>
    </w:p>
    <w:p w14:paraId="716D6403" w14:textId="77777777" w:rsidR="00626C10" w:rsidRPr="00626C10" w:rsidRDefault="00626C10" w:rsidP="00626C10">
      <w:pPr>
        <w:pStyle w:val="ListParagraph"/>
        <w:shd w:val="clear" w:color="auto" w:fill="FFFFFF"/>
        <w:contextualSpacing/>
        <w:rPr>
          <w:rFonts w:ascii="Arial Nova" w:hAnsi="Arial Nova"/>
          <w:color w:val="242424"/>
        </w:rPr>
      </w:pPr>
    </w:p>
    <w:p w14:paraId="616F7E2E" w14:textId="5D716938" w:rsidR="00626C10" w:rsidRPr="00626C10" w:rsidRDefault="00626C10" w:rsidP="00626C10">
      <w:pPr>
        <w:pStyle w:val="ListParagraph"/>
        <w:numPr>
          <w:ilvl w:val="0"/>
          <w:numId w:val="46"/>
        </w:numPr>
        <w:shd w:val="clear" w:color="auto" w:fill="FFFFFF"/>
        <w:tabs>
          <w:tab w:val="left" w:pos="450"/>
        </w:tabs>
        <w:contextualSpacing/>
        <w:rPr>
          <w:rFonts w:ascii="Aptos" w:hAnsi="Aptos"/>
          <w:sz w:val="28"/>
          <w:szCs w:val="28"/>
        </w:rPr>
      </w:pPr>
      <w:r w:rsidRPr="00626C10">
        <w:rPr>
          <w:rFonts w:ascii="Arial Nova" w:hAnsi="Arial Nova"/>
          <w:color w:val="242424"/>
        </w:rPr>
        <w:t xml:space="preserve">Anyone can get free relay equipment with Relay Indiana. </w:t>
      </w:r>
      <w:r w:rsidRPr="00626C10">
        <w:rPr>
          <w:rFonts w:ascii="Arial Nova" w:hAnsi="Arial Nova"/>
          <w:color w:val="242424"/>
        </w:rPr>
        <w:t>_____</w:t>
      </w:r>
      <w:r w:rsidRPr="00626C10">
        <w:rPr>
          <w:rFonts w:ascii="Arial Nova" w:hAnsi="Arial Nova"/>
          <w:color w:val="242424"/>
        </w:rPr>
        <w:t xml:space="preserve">True </w:t>
      </w:r>
      <w:r w:rsidRPr="00626C10">
        <w:rPr>
          <w:rFonts w:ascii="Arial Nova" w:hAnsi="Arial Nova"/>
          <w:color w:val="242424"/>
        </w:rPr>
        <w:t xml:space="preserve">    _____</w:t>
      </w:r>
      <w:r w:rsidRPr="00626C10">
        <w:rPr>
          <w:rFonts w:ascii="Arial Nova" w:hAnsi="Arial Nova"/>
          <w:color w:val="242424"/>
        </w:rPr>
        <w:t xml:space="preserve">False </w:t>
      </w:r>
    </w:p>
    <w:p w14:paraId="10CA5F3B" w14:textId="77777777" w:rsidR="00626C10" w:rsidRPr="00626C10" w:rsidRDefault="00626C10" w:rsidP="00626C10">
      <w:pPr>
        <w:pStyle w:val="ListParagraph"/>
        <w:rPr>
          <w:rFonts w:ascii="Aptos" w:hAnsi="Aptos"/>
          <w:sz w:val="28"/>
          <w:szCs w:val="28"/>
        </w:rPr>
      </w:pPr>
    </w:p>
    <w:p w14:paraId="5C039725" w14:textId="77777777" w:rsidR="00626C10" w:rsidRPr="00626C10" w:rsidRDefault="00626C10" w:rsidP="00626C10">
      <w:pPr>
        <w:pStyle w:val="ListParagraph"/>
        <w:shd w:val="clear" w:color="auto" w:fill="FFFFFF"/>
        <w:tabs>
          <w:tab w:val="left" w:pos="450"/>
        </w:tabs>
        <w:contextualSpacing/>
        <w:rPr>
          <w:rFonts w:ascii="Aptos" w:hAnsi="Aptos"/>
          <w:sz w:val="2"/>
          <w:szCs w:val="2"/>
        </w:rPr>
      </w:pPr>
    </w:p>
    <w:p w14:paraId="0094B490" w14:textId="77777777" w:rsidR="00626C10" w:rsidRDefault="00626C10" w:rsidP="00626C10">
      <w:pPr>
        <w:shd w:val="clear" w:color="auto" w:fill="FFFFFF"/>
        <w:tabs>
          <w:tab w:val="left" w:pos="450"/>
        </w:tabs>
        <w:ind w:left="360"/>
        <w:contextualSpacing/>
        <w:rPr>
          <w:rFonts w:ascii="Arial Nova" w:hAnsi="Arial Nova"/>
          <w:color w:val="242424"/>
        </w:rPr>
      </w:pPr>
      <w:r>
        <w:rPr>
          <w:rFonts w:ascii="Arial Nova" w:hAnsi="Arial Nova"/>
          <w:color w:val="242424"/>
        </w:rPr>
        <w:t>10</w:t>
      </w:r>
      <w:proofErr w:type="gramStart"/>
      <w:r>
        <w:rPr>
          <w:rFonts w:ascii="Arial Nova" w:hAnsi="Arial Nova"/>
          <w:color w:val="242424"/>
        </w:rPr>
        <w:t xml:space="preserve">.  </w:t>
      </w:r>
      <w:r w:rsidRPr="00626C10">
        <w:rPr>
          <w:rFonts w:ascii="Arial Nova" w:hAnsi="Arial Nova"/>
          <w:color w:val="242424"/>
        </w:rPr>
        <w:t>Bridging</w:t>
      </w:r>
      <w:proofErr w:type="gramEnd"/>
      <w:r w:rsidRPr="00626C10">
        <w:rPr>
          <w:rFonts w:ascii="Arial Nova" w:hAnsi="Arial Nova"/>
          <w:color w:val="242424"/>
        </w:rPr>
        <w:t xml:space="preserve"> Apps search tool is a free way to find apps for people with disabilities? </w:t>
      </w:r>
      <w:r>
        <w:rPr>
          <w:rFonts w:ascii="Arial Nova" w:hAnsi="Arial Nova"/>
          <w:color w:val="242424"/>
        </w:rPr>
        <w:t xml:space="preserve"> </w:t>
      </w:r>
    </w:p>
    <w:p w14:paraId="78617384" w14:textId="49A97C71" w:rsidR="00626C10" w:rsidRDefault="00626C10" w:rsidP="00626C10">
      <w:pPr>
        <w:shd w:val="clear" w:color="auto" w:fill="FFFFFF"/>
        <w:tabs>
          <w:tab w:val="left" w:pos="450"/>
        </w:tabs>
        <w:ind w:left="360"/>
        <w:contextualSpacing/>
        <w:rPr>
          <w:rFonts w:ascii="Arial Nova" w:hAnsi="Arial Nova"/>
          <w:color w:val="242424"/>
          <w:sz w:val="36"/>
          <w:szCs w:val="36"/>
        </w:rPr>
      </w:pPr>
      <w:r>
        <w:rPr>
          <w:rFonts w:ascii="Arial Nova" w:hAnsi="Arial Nova"/>
          <w:color w:val="242424"/>
        </w:rPr>
        <w:t xml:space="preserve">         _____</w:t>
      </w:r>
      <w:r w:rsidRPr="00626C10">
        <w:rPr>
          <w:rFonts w:ascii="Arial Nova" w:hAnsi="Arial Nova"/>
          <w:color w:val="242424"/>
        </w:rPr>
        <w:t xml:space="preserve">True </w:t>
      </w:r>
      <w:r>
        <w:rPr>
          <w:rFonts w:ascii="Arial Nova" w:hAnsi="Arial Nova"/>
          <w:color w:val="242424"/>
        </w:rPr>
        <w:t>_____</w:t>
      </w:r>
      <w:r w:rsidRPr="00626C10">
        <w:rPr>
          <w:rFonts w:ascii="Arial Nova" w:hAnsi="Arial Nova"/>
          <w:color w:val="242424"/>
        </w:rPr>
        <w:t>False</w:t>
      </w:r>
      <w:r w:rsidRPr="00626C10">
        <w:rPr>
          <w:rFonts w:ascii="Arial Nova" w:hAnsi="Arial Nova"/>
          <w:color w:val="242424"/>
          <w:sz w:val="36"/>
          <w:szCs w:val="36"/>
        </w:rPr>
        <w:t xml:space="preserve">  </w:t>
      </w:r>
    </w:p>
    <w:p w14:paraId="17A744BA" w14:textId="77777777" w:rsidR="00626C10" w:rsidRDefault="00626C10" w:rsidP="00626C10">
      <w:pPr>
        <w:shd w:val="clear" w:color="auto" w:fill="FFFFFF"/>
        <w:tabs>
          <w:tab w:val="left" w:pos="450"/>
        </w:tabs>
        <w:ind w:left="360"/>
        <w:contextualSpacing/>
        <w:rPr>
          <w:rFonts w:ascii="Arial Nova" w:hAnsi="Arial Nova"/>
          <w:color w:val="242424"/>
          <w:sz w:val="36"/>
          <w:szCs w:val="36"/>
        </w:rPr>
      </w:pPr>
    </w:p>
    <w:p w14:paraId="0A4D0A20" w14:textId="74952617" w:rsidR="00626C10" w:rsidRDefault="00693D60" w:rsidP="00626C10">
      <w:pPr>
        <w:shd w:val="clear" w:color="auto" w:fill="FFFFFF"/>
        <w:tabs>
          <w:tab w:val="left" w:pos="450"/>
        </w:tabs>
        <w:ind w:left="360"/>
        <w:contextualSpacing/>
        <w:jc w:val="center"/>
        <w:rPr>
          <w:rFonts w:ascii="Aptos" w:hAnsi="Aptos"/>
          <w:sz w:val="28"/>
          <w:szCs w:val="28"/>
        </w:rPr>
      </w:pPr>
      <w:r w:rsidRPr="00626C10">
        <w:rPr>
          <w:rFonts w:ascii="Aptos" w:hAnsi="Aptos"/>
          <w:sz w:val="28"/>
          <w:szCs w:val="28"/>
        </w:rPr>
        <w:t xml:space="preserve">Please </w:t>
      </w:r>
      <w:r w:rsidR="00124040" w:rsidRPr="00626C10">
        <w:rPr>
          <w:rFonts w:ascii="Aptos" w:hAnsi="Aptos"/>
          <w:sz w:val="28"/>
          <w:szCs w:val="28"/>
        </w:rPr>
        <w:t>note any suggestions for improving this activity</w:t>
      </w:r>
    </w:p>
    <w:p w14:paraId="43800EB1" w14:textId="488A16AF" w:rsidR="00124040" w:rsidRPr="00693D60" w:rsidRDefault="00124040" w:rsidP="00626C10">
      <w:pPr>
        <w:shd w:val="clear" w:color="auto" w:fill="FFFFFF"/>
        <w:tabs>
          <w:tab w:val="left" w:pos="450"/>
        </w:tabs>
        <w:ind w:left="360"/>
        <w:contextualSpacing/>
        <w:jc w:val="center"/>
        <w:rPr>
          <w:rFonts w:ascii="Aptos" w:hAnsi="Aptos"/>
          <w:sz w:val="28"/>
          <w:szCs w:val="28"/>
        </w:rPr>
        <w:sectPr w:rsidR="00124040" w:rsidRPr="00693D60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 w:rsidRPr="00626C10">
        <w:rPr>
          <w:rFonts w:ascii="Aptos" w:hAnsi="Aptos"/>
          <w:sz w:val="28"/>
          <w:szCs w:val="28"/>
        </w:rPr>
        <w:t xml:space="preserve">in terms of </w:t>
      </w:r>
      <w:r w:rsidRPr="00693D60">
        <w:rPr>
          <w:rFonts w:ascii="Aptos" w:hAnsi="Aptos"/>
          <w:sz w:val="28"/>
          <w:szCs w:val="28"/>
        </w:rPr>
        <w:t>learning value.</w:t>
      </w:r>
    </w:p>
    <w:p w14:paraId="4BE01BFE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  <w:r w:rsidRPr="003F2466">
        <w:rPr>
          <w:rFonts w:ascii="Aptos" w:hAnsi="Aptos"/>
          <w:u w:val="single"/>
        </w:rPr>
        <w:tab/>
      </w:r>
    </w:p>
    <w:p w14:paraId="6F9EB942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</w:p>
    <w:p w14:paraId="7A652192" w14:textId="2AEB0F5C" w:rsidR="0027491E" w:rsidRPr="003F2466" w:rsidRDefault="00772BA0">
      <w:pPr>
        <w:tabs>
          <w:tab w:val="left" w:pos="9270"/>
        </w:tabs>
        <w:rPr>
          <w:rFonts w:ascii="Aptos" w:hAnsi="Aptos" w:cs="Arial"/>
          <w:u w:val="single"/>
        </w:rPr>
      </w:pPr>
      <w:r w:rsidRPr="003F2466">
        <w:rPr>
          <w:rFonts w:ascii="Aptos" w:hAnsi="Aptos"/>
          <w:u w:val="single"/>
        </w:rPr>
        <w:tab/>
      </w:r>
    </w:p>
    <w:sectPr w:rsidR="0027491E" w:rsidRPr="003F2466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108A" w14:textId="77777777" w:rsidR="00B80BDE" w:rsidRDefault="00B80BDE">
      <w:r>
        <w:separator/>
      </w:r>
    </w:p>
  </w:endnote>
  <w:endnote w:type="continuationSeparator" w:id="0">
    <w:p w14:paraId="12BB9D01" w14:textId="77777777" w:rsidR="00B80BDE" w:rsidRDefault="00B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64B6" w14:textId="77777777" w:rsidR="00B80BDE" w:rsidRDefault="00B80BDE">
      <w:r>
        <w:separator/>
      </w:r>
    </w:p>
  </w:footnote>
  <w:footnote w:type="continuationSeparator" w:id="0">
    <w:p w14:paraId="5BB22766" w14:textId="77777777" w:rsidR="00B80BDE" w:rsidRDefault="00B8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36DC"/>
    <w:multiLevelType w:val="multilevel"/>
    <w:tmpl w:val="A0824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237BBC"/>
    <w:multiLevelType w:val="hybridMultilevel"/>
    <w:tmpl w:val="639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45F3A"/>
    <w:multiLevelType w:val="multilevel"/>
    <w:tmpl w:val="176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10785"/>
    <w:multiLevelType w:val="multilevel"/>
    <w:tmpl w:val="41F2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F110F"/>
    <w:multiLevelType w:val="hybridMultilevel"/>
    <w:tmpl w:val="3D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6785"/>
    <w:multiLevelType w:val="multilevel"/>
    <w:tmpl w:val="682AA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eastAsiaTheme="minorEastAsia" w:cstheme="minorBidi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346AA3"/>
    <w:multiLevelType w:val="hybridMultilevel"/>
    <w:tmpl w:val="9F3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2F7B7D"/>
    <w:multiLevelType w:val="multilevel"/>
    <w:tmpl w:val="8AA20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66601">
    <w:abstractNumId w:val="18"/>
  </w:num>
  <w:num w:numId="2" w16cid:durableId="880243403">
    <w:abstractNumId w:val="18"/>
    <w:lvlOverride w:ilvl="0">
      <w:startOverride w:val="5"/>
    </w:lvlOverride>
  </w:num>
  <w:num w:numId="3" w16cid:durableId="1093237908">
    <w:abstractNumId w:val="32"/>
  </w:num>
  <w:num w:numId="4" w16cid:durableId="835997138">
    <w:abstractNumId w:val="13"/>
  </w:num>
  <w:num w:numId="5" w16cid:durableId="244147047">
    <w:abstractNumId w:val="43"/>
  </w:num>
  <w:num w:numId="6" w16cid:durableId="1426726107">
    <w:abstractNumId w:val="31"/>
  </w:num>
  <w:num w:numId="7" w16cid:durableId="1964998503">
    <w:abstractNumId w:val="3"/>
  </w:num>
  <w:num w:numId="8" w16cid:durableId="395592570">
    <w:abstractNumId w:val="39"/>
  </w:num>
  <w:num w:numId="9" w16cid:durableId="127283916">
    <w:abstractNumId w:val="9"/>
  </w:num>
  <w:num w:numId="10" w16cid:durableId="1965622027">
    <w:abstractNumId w:val="23"/>
  </w:num>
  <w:num w:numId="11" w16cid:durableId="677922973">
    <w:abstractNumId w:val="6"/>
  </w:num>
  <w:num w:numId="12" w16cid:durableId="936979892">
    <w:abstractNumId w:val="16"/>
  </w:num>
  <w:num w:numId="13" w16cid:durableId="1474373810">
    <w:abstractNumId w:val="0"/>
  </w:num>
  <w:num w:numId="14" w16cid:durableId="1501385666">
    <w:abstractNumId w:val="14"/>
  </w:num>
  <w:num w:numId="15" w16cid:durableId="747919158">
    <w:abstractNumId w:val="35"/>
  </w:num>
  <w:num w:numId="16" w16cid:durableId="1841844611">
    <w:abstractNumId w:val="36"/>
  </w:num>
  <w:num w:numId="17" w16cid:durableId="67001526">
    <w:abstractNumId w:val="34"/>
  </w:num>
  <w:num w:numId="18" w16cid:durableId="2112818240">
    <w:abstractNumId w:val="4"/>
  </w:num>
  <w:num w:numId="19" w16cid:durableId="2061123155">
    <w:abstractNumId w:val="38"/>
  </w:num>
  <w:num w:numId="20" w16cid:durableId="1241715721">
    <w:abstractNumId w:val="10"/>
  </w:num>
  <w:num w:numId="21" w16cid:durableId="1500537290">
    <w:abstractNumId w:val="15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30"/>
  </w:num>
  <w:num w:numId="25" w16cid:durableId="1394084341">
    <w:abstractNumId w:val="11"/>
  </w:num>
  <w:num w:numId="26" w16cid:durableId="1307509458">
    <w:abstractNumId w:val="17"/>
  </w:num>
  <w:num w:numId="27" w16cid:durableId="540290879">
    <w:abstractNumId w:val="24"/>
  </w:num>
  <w:num w:numId="28" w16cid:durableId="1924218090">
    <w:abstractNumId w:val="21"/>
  </w:num>
  <w:num w:numId="29" w16cid:durableId="1461872977">
    <w:abstractNumId w:val="20"/>
  </w:num>
  <w:num w:numId="30" w16cid:durableId="889730329">
    <w:abstractNumId w:val="1"/>
  </w:num>
  <w:num w:numId="31" w16cid:durableId="628439399">
    <w:abstractNumId w:val="40"/>
  </w:num>
  <w:num w:numId="32" w16cid:durableId="302850419">
    <w:abstractNumId w:val="8"/>
  </w:num>
  <w:num w:numId="33" w16cid:durableId="1238051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9"/>
  </w:num>
  <w:num w:numId="35" w16cid:durableId="683359710">
    <w:abstractNumId w:val="5"/>
  </w:num>
  <w:num w:numId="36" w16cid:durableId="15886113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41"/>
  </w:num>
  <w:num w:numId="38" w16cid:durableId="232474069">
    <w:abstractNumId w:val="25"/>
  </w:num>
  <w:num w:numId="39" w16cid:durableId="580220226">
    <w:abstractNumId w:val="19"/>
  </w:num>
  <w:num w:numId="40" w16cid:durableId="1038747942">
    <w:abstractNumId w:val="27"/>
  </w:num>
  <w:num w:numId="41" w16cid:durableId="1677803936">
    <w:abstractNumId w:val="22"/>
  </w:num>
  <w:num w:numId="42" w16cid:durableId="2000768852">
    <w:abstractNumId w:val="26"/>
  </w:num>
  <w:num w:numId="43" w16cid:durableId="1887372688">
    <w:abstractNumId w:val="44"/>
  </w:num>
  <w:num w:numId="44" w16cid:durableId="1176656636">
    <w:abstractNumId w:val="12"/>
  </w:num>
  <w:num w:numId="45" w16cid:durableId="189609170">
    <w:abstractNumId w:val="28"/>
  </w:num>
  <w:num w:numId="46" w16cid:durableId="160989641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0077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21547"/>
    <w:rsid w:val="0027491E"/>
    <w:rsid w:val="0029441B"/>
    <w:rsid w:val="002A6EC1"/>
    <w:rsid w:val="002C2ED8"/>
    <w:rsid w:val="002D2895"/>
    <w:rsid w:val="002E014E"/>
    <w:rsid w:val="00311FCF"/>
    <w:rsid w:val="003162F4"/>
    <w:rsid w:val="00343C37"/>
    <w:rsid w:val="00356448"/>
    <w:rsid w:val="003E6730"/>
    <w:rsid w:val="003F2466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26C10"/>
    <w:rsid w:val="00645D6A"/>
    <w:rsid w:val="00645EE1"/>
    <w:rsid w:val="00690AE9"/>
    <w:rsid w:val="00693D60"/>
    <w:rsid w:val="006A152F"/>
    <w:rsid w:val="006A2F20"/>
    <w:rsid w:val="006A715A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144B3"/>
    <w:rsid w:val="008806DA"/>
    <w:rsid w:val="00884085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171B0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80BDE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119DF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2025-05-17T23:21:00Z</dcterms:created>
  <dcterms:modified xsi:type="dcterms:W3CDTF">2025-05-17T23:21:00Z</dcterms:modified>
</cp:coreProperties>
</file>