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4870B2AE" w14:textId="03A35014" w:rsidR="00D85F34" w:rsidRDefault="00FD0292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Complying with Required Student Accommodations During Remote and Hybrid Learning</w:t>
      </w:r>
    </w:p>
    <w:p w14:paraId="23A855A5" w14:textId="2AC3DBAA" w:rsidR="00066A30" w:rsidRPr="00595D5B" w:rsidRDefault="00066A30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 xml:space="preserve">December </w:t>
      </w:r>
      <w:r w:rsidR="00FD0292">
        <w:rPr>
          <w:bCs/>
          <w:sz w:val="40"/>
          <w:szCs w:val="40"/>
        </w:rPr>
        <w:t>10</w:t>
      </w:r>
      <w:r>
        <w:rPr>
          <w:bCs/>
          <w:sz w:val="40"/>
          <w:szCs w:val="40"/>
        </w:rPr>
        <w:t>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681EF1A" w14:textId="77777777" w:rsidR="00FD0292" w:rsidRPr="00FD0292" w:rsidRDefault="00FD0292" w:rsidP="00FD0292">
      <w:pPr>
        <w:pStyle w:val="Title"/>
        <w:rPr>
          <w:bCs/>
          <w:sz w:val="40"/>
          <w:szCs w:val="40"/>
        </w:rPr>
      </w:pPr>
      <w:r w:rsidRPr="00FD0292">
        <w:rPr>
          <w:bCs/>
          <w:sz w:val="40"/>
          <w:szCs w:val="40"/>
        </w:rPr>
        <w:lastRenderedPageBreak/>
        <w:t>Complying with Required Student Accommodations During Remote and Hybrid Learning</w:t>
      </w:r>
    </w:p>
    <w:p w14:paraId="41BE5B23" w14:textId="77777777" w:rsidR="00FD0292" w:rsidRPr="00FD0292" w:rsidRDefault="00FD0292" w:rsidP="00FD0292">
      <w:pPr>
        <w:pStyle w:val="Title"/>
        <w:rPr>
          <w:bCs/>
          <w:sz w:val="40"/>
          <w:szCs w:val="40"/>
        </w:rPr>
      </w:pPr>
      <w:r w:rsidRPr="00FD0292">
        <w:rPr>
          <w:bCs/>
          <w:sz w:val="40"/>
          <w:szCs w:val="40"/>
        </w:rPr>
        <w:t>December 10,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480872F" w14:textId="5D642F31" w:rsidR="00FD0292" w:rsidRPr="00FD0292" w:rsidRDefault="00066A30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>
        <w:rPr>
          <w:rFonts w:ascii="Helvetica" w:eastAsia="Helvetica" w:hAnsi="Helvetica" w:cs="Helvetica"/>
          <w:color w:val="000000"/>
          <w:sz w:val="22"/>
          <w:szCs w:val="22"/>
          <w:bdr w:val="nil"/>
        </w:rPr>
        <w:t xml:space="preserve">1. </w:t>
      </w:r>
      <w:r w:rsidR="00FD0292" w:rsidRPr="00FD0292">
        <w:rPr>
          <w:rFonts w:eastAsia="Helvetica"/>
          <w:color w:val="000000"/>
          <w:bdr w:val="nil"/>
        </w:rPr>
        <w:t>What is an effective strategy for fostering independent reading skills for all students?</w:t>
      </w:r>
    </w:p>
    <w:p w14:paraId="71CED9F5" w14:textId="3D052558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b/>
          <w:bCs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a. Connecting to their interests and passions to spark their intrinsic desire to read </w:t>
      </w:r>
    </w:p>
    <w:p w14:paraId="278C7B93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b. Providing students with access to free reading materials</w:t>
      </w:r>
    </w:p>
    <w:p w14:paraId="536D7BB6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c. Telling students that reading is essential to their success</w:t>
      </w:r>
    </w:p>
    <w:p w14:paraId="2A2FCFA2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d. Requiring that students read during holidays and school vacations</w:t>
      </w:r>
    </w:p>
    <w:p w14:paraId="073D3D84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e. Building a lending library</w:t>
      </w:r>
    </w:p>
    <w:p w14:paraId="536DA541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5A686A09" w14:textId="502ACA90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2.  Reading assessment diagnostic scores can be used to provide evidence of which of the following disability areas</w:t>
      </w:r>
    </w:p>
    <w:p w14:paraId="72B8D3FA" w14:textId="6C8850A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</w:r>
      <w:r w:rsidRPr="00FD0292">
        <w:rPr>
          <w:rFonts w:eastAsia="Helvetica"/>
          <w:color w:val="000000"/>
          <w:bdr w:val="nil"/>
        </w:rPr>
        <w:t xml:space="preserve">a. Specific Learning Disability </w:t>
      </w:r>
    </w:p>
    <w:p w14:paraId="37A90F90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b. Speech Language Disability</w:t>
      </w:r>
    </w:p>
    <w:p w14:paraId="6BC6D6F5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c.  School Identified Autism</w:t>
      </w:r>
    </w:p>
    <w:p w14:paraId="4631786E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d. Other Health Impairment </w:t>
      </w:r>
    </w:p>
    <w:p w14:paraId="72E5DE83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59C33A49" w14:textId="155D08CC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3. </w:t>
      </w:r>
      <w:r>
        <w:rPr>
          <w:rFonts w:eastAsia="Helvetica"/>
          <w:color w:val="000000"/>
          <w:bdr w:val="nil"/>
        </w:rPr>
        <w:tab/>
      </w:r>
      <w:r w:rsidRPr="00FD0292">
        <w:rPr>
          <w:rFonts w:eastAsia="Helvetica"/>
          <w:color w:val="000000"/>
          <w:bdr w:val="nil"/>
        </w:rPr>
        <w:t>It is required by law that accommodations on a student's IEP be adhered to during virtual learning. </w:t>
      </w:r>
    </w:p>
    <w:p w14:paraId="319FDF0F" w14:textId="64CC3532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b/>
          <w:bCs/>
          <w:color w:val="000000"/>
          <w:bdr w:val="nil"/>
        </w:rPr>
      </w:pPr>
      <w:r>
        <w:rPr>
          <w:rFonts w:eastAsia="Helvetica"/>
          <w:color w:val="000000"/>
          <w:bdr w:val="nil"/>
        </w:rPr>
        <w:t>________</w:t>
      </w:r>
      <w:r w:rsidRPr="00FD0292">
        <w:rPr>
          <w:rFonts w:eastAsia="Helvetica"/>
          <w:color w:val="000000"/>
          <w:bdr w:val="nil"/>
        </w:rPr>
        <w:t xml:space="preserve">TRUE </w:t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  <w:t>________FALSE</w:t>
      </w:r>
    </w:p>
    <w:p w14:paraId="0893612D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3D9E8317" w14:textId="5750F405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4.  Google Classroom and Schoology can provide all the required accommodations that students have written into their IEP including:</w:t>
      </w:r>
    </w:p>
    <w:p w14:paraId="0517EED0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a. Presentation accommodations</w:t>
      </w:r>
    </w:p>
    <w:p w14:paraId="023152CB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b. Response accommodations</w:t>
      </w:r>
    </w:p>
    <w:p w14:paraId="3941F62F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c. Visual accommodation</w:t>
      </w:r>
    </w:p>
    <w:p w14:paraId="328E4B02" w14:textId="38EB437C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d. None of the above </w:t>
      </w:r>
    </w:p>
    <w:p w14:paraId="17E065B8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e. </w:t>
      </w:r>
      <w:proofErr w:type="gramStart"/>
      <w:r w:rsidRPr="00FD0292">
        <w:rPr>
          <w:rFonts w:eastAsia="Helvetica"/>
          <w:color w:val="000000"/>
          <w:bdr w:val="nil"/>
        </w:rPr>
        <w:t>All of</w:t>
      </w:r>
      <w:proofErr w:type="gramEnd"/>
      <w:r w:rsidRPr="00FD0292">
        <w:rPr>
          <w:rFonts w:eastAsia="Helvetica"/>
          <w:color w:val="000000"/>
          <w:bdr w:val="nil"/>
        </w:rPr>
        <w:t xml:space="preserve"> the above</w:t>
      </w:r>
    </w:p>
    <w:p w14:paraId="16AAFD18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07463FD2" w14:textId="3216361D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5. </w:t>
      </w:r>
      <w:r>
        <w:rPr>
          <w:rFonts w:eastAsia="Helvetica"/>
          <w:color w:val="000000"/>
          <w:bdr w:val="nil"/>
        </w:rPr>
        <w:tab/>
      </w:r>
      <w:r w:rsidRPr="00FD0292">
        <w:rPr>
          <w:rFonts w:eastAsia="Helvetica"/>
          <w:color w:val="000000"/>
          <w:bdr w:val="nil"/>
        </w:rPr>
        <w:t>It does not matter if testing for special education services includes norm-referenced data. </w:t>
      </w:r>
    </w:p>
    <w:p w14:paraId="2D0AFE0F" w14:textId="753F95AB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>
        <w:rPr>
          <w:rFonts w:eastAsia="Helvetica"/>
          <w:color w:val="000000"/>
          <w:bdr w:val="nil"/>
        </w:rPr>
        <w:t>________</w:t>
      </w:r>
      <w:r w:rsidRPr="00FD0292">
        <w:rPr>
          <w:rFonts w:eastAsia="Helvetica"/>
          <w:color w:val="000000"/>
          <w:bdr w:val="nil"/>
        </w:rPr>
        <w:t>TRUE</w:t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</w:r>
      <w:r>
        <w:rPr>
          <w:rFonts w:eastAsia="Helvetica"/>
          <w:color w:val="000000"/>
          <w:bdr w:val="nil"/>
        </w:rPr>
        <w:tab/>
        <w:t>________FALSE</w:t>
      </w:r>
    </w:p>
    <w:p w14:paraId="264F9B26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2DB09D6E" w14:textId="7FC473AD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6. What is one tool you can use to accommodate students in these situations?</w:t>
      </w:r>
    </w:p>
    <w:p w14:paraId="6B944852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a. Use Kurzweil to browse any websites accessibly</w:t>
      </w:r>
    </w:p>
    <w:p w14:paraId="32A756F2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b. Use Read &amp; Write to organize accessible documents</w:t>
      </w:r>
    </w:p>
    <w:p w14:paraId="58BF3DC8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firstLine="45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c. Use Google to administer secure tests with lockdown browser</w:t>
      </w:r>
    </w:p>
    <w:p w14:paraId="3BB20084" w14:textId="4026BFED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rPr>
          <w:rFonts w:eastAsia="Helvetica"/>
          <w:b/>
          <w:bCs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 xml:space="preserve">d. Use </w:t>
      </w:r>
      <w:proofErr w:type="spellStart"/>
      <w:r w:rsidRPr="00FD0292">
        <w:rPr>
          <w:rFonts w:eastAsia="Helvetica"/>
          <w:color w:val="000000"/>
          <w:bdr w:val="nil"/>
        </w:rPr>
        <w:t>Capti</w:t>
      </w:r>
      <w:proofErr w:type="spellEnd"/>
      <w:r w:rsidRPr="00FD0292">
        <w:rPr>
          <w:rFonts w:eastAsia="Helvetica"/>
          <w:color w:val="000000"/>
          <w:bdr w:val="nil"/>
        </w:rPr>
        <w:t xml:space="preserve"> to browse any websites accessibly, organize accessible documents, administer secure tests. </w:t>
      </w:r>
    </w:p>
    <w:p w14:paraId="36CAA025" w14:textId="77777777" w:rsidR="00FD0292" w:rsidRPr="00FD0292" w:rsidRDefault="00FD0292" w:rsidP="00FD029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  <w:r w:rsidRPr="00FD0292">
        <w:rPr>
          <w:rFonts w:eastAsia="Helvetica"/>
          <w:color w:val="000000"/>
          <w:bdr w:val="nil"/>
        </w:rPr>
        <w:t> </w:t>
      </w: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7777777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C10A6" w14:textId="77777777" w:rsidR="001C1CDE" w:rsidRDefault="001C1CDE">
      <w:r>
        <w:separator/>
      </w:r>
    </w:p>
  </w:endnote>
  <w:endnote w:type="continuationSeparator" w:id="0">
    <w:p w14:paraId="7EAE485A" w14:textId="77777777" w:rsidR="001C1CDE" w:rsidRDefault="001C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5CD47" w14:textId="77777777" w:rsidR="001C1CDE" w:rsidRDefault="001C1CDE">
      <w:r>
        <w:separator/>
      </w:r>
    </w:p>
  </w:footnote>
  <w:footnote w:type="continuationSeparator" w:id="0">
    <w:p w14:paraId="362BC42D" w14:textId="77777777" w:rsidR="001C1CDE" w:rsidRDefault="001C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2" w15:restartNumberingAfterBreak="0">
    <w:nsid w:val="35E12BA4"/>
    <w:multiLevelType w:val="hybridMultilevel"/>
    <w:tmpl w:val="FC5AC514"/>
    <w:numStyleLink w:val="Lettered3"/>
  </w:abstractNum>
  <w:abstractNum w:abstractNumId="13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4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9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C29342D"/>
    <w:multiLevelType w:val="hybridMultilevel"/>
    <w:tmpl w:val="874CFE8C"/>
    <w:numStyleLink w:val="Lettered2"/>
  </w:abstractNum>
  <w:abstractNum w:abstractNumId="22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4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5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6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29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1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  <w:lvlOverride w:ilvl="0">
      <w:startOverride w:val="5"/>
    </w:lvlOverride>
  </w:num>
  <w:num w:numId="3">
    <w:abstractNumId w:val="0"/>
  </w:num>
  <w:num w:numId="4">
    <w:abstractNumId w:val="24"/>
  </w:num>
  <w:num w:numId="5">
    <w:abstractNumId w:val="4"/>
  </w:num>
  <w:num w:numId="6">
    <w:abstractNumId w:val="23"/>
  </w:num>
  <w:num w:numId="7">
    <w:abstractNumId w:val="11"/>
  </w:num>
  <w:num w:numId="8">
    <w:abstractNumId w:val="25"/>
  </w:num>
  <w:num w:numId="9">
    <w:abstractNumId w:val="27"/>
  </w:num>
  <w:num w:numId="10">
    <w:abstractNumId w:val="2"/>
  </w:num>
  <w:num w:numId="11">
    <w:abstractNumId w:val="32"/>
  </w:num>
  <w:num w:numId="12">
    <w:abstractNumId w:val="13"/>
  </w:num>
  <w:num w:numId="13">
    <w:abstractNumId w:val="22"/>
  </w:num>
  <w:num w:numId="14">
    <w:abstractNumId w:val="30"/>
  </w:num>
  <w:num w:numId="15">
    <w:abstractNumId w:val="33"/>
  </w:num>
  <w:num w:numId="16">
    <w:abstractNumId w:val="20"/>
  </w:num>
  <w:num w:numId="17">
    <w:abstractNumId w:val="18"/>
  </w:num>
  <w:num w:numId="18">
    <w:abstractNumId w:val="6"/>
  </w:num>
  <w:num w:numId="19">
    <w:abstractNumId w:val="28"/>
  </w:num>
  <w:num w:numId="20">
    <w:abstractNumId w:val="15"/>
  </w:num>
  <w:num w:numId="21">
    <w:abstractNumId w:val="7"/>
  </w:num>
  <w:num w:numId="22">
    <w:abstractNumId w:val="5"/>
  </w:num>
  <w:num w:numId="23">
    <w:abstractNumId w:val="9"/>
  </w:num>
  <w:num w:numId="24">
    <w:abstractNumId w:val="31"/>
  </w:num>
  <w:num w:numId="25">
    <w:abstractNumId w:val="14"/>
  </w:num>
  <w:num w:numId="26">
    <w:abstractNumId w:val="10"/>
  </w:num>
  <w:num w:numId="27">
    <w:abstractNumId w:val="21"/>
  </w:num>
  <w:num w:numId="28">
    <w:abstractNumId w:val="21"/>
    <w:lvlOverride w:ilvl="0">
      <w:lvl w:ilvl="0" w:tplc="2DAC8AB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48D116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4EA646C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32C6E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452B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DC6107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4E4C5E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E864A84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6A47850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1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3"/>
  </w:num>
  <w:num w:numId="32">
    <w:abstractNumId w:val="12"/>
    <w:lvlOverride w:ilvl="0">
      <w:lvl w:ilvl="0" w:tplc="7A46480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2"/>
    <w:lvlOverride w:ilvl="0">
      <w:lvl w:ilvl="0" w:tplc="7A46480A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CA5D8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0120DBE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EA23210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F237E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0CCFF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F89AAA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BB07DB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5B210F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2"/>
    <w:lvlOverride w:ilvl="0">
      <w:startOverride w:val="1"/>
    </w:lvlOverride>
  </w:num>
  <w:num w:numId="35">
    <w:abstractNumId w:val="12"/>
    <w:lvlOverride w:ilvl="0">
      <w:startOverride w:val="1"/>
    </w:lvlOverride>
  </w:num>
  <w:num w:numId="36">
    <w:abstractNumId w:val="26"/>
  </w:num>
  <w:num w:numId="37">
    <w:abstractNumId w:val="19"/>
  </w:num>
  <w:num w:numId="38">
    <w:abstractNumId w:val="1"/>
  </w:num>
  <w:num w:numId="39">
    <w:abstractNumId w:val="34"/>
  </w:num>
  <w:num w:numId="40">
    <w:abstractNumId w:val="16"/>
  </w:num>
  <w:num w:numId="41">
    <w:abstractNumId w:val="17"/>
  </w:num>
  <w:num w:numId="42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C1CDE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22F3A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D0292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2020-12-09T19:48:00Z</dcterms:created>
  <dcterms:modified xsi:type="dcterms:W3CDTF">2020-12-09T19:48:00Z</dcterms:modified>
</cp:coreProperties>
</file>