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1A6F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4309B9A3" w14:textId="48E28CA5" w:rsidR="00D73DCB" w:rsidRPr="00D73DCB" w:rsidRDefault="00F44EA3" w:rsidP="00D7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B46667">
        <w:rPr>
          <w:b/>
          <w:sz w:val="36"/>
          <w:szCs w:val="36"/>
        </w:rPr>
        <w:t>8</w:t>
      </w:r>
      <w:r w:rsidR="00D73DCB" w:rsidRPr="00D73DCB">
        <w:rPr>
          <w:b/>
          <w:sz w:val="36"/>
          <w:szCs w:val="36"/>
        </w:rPr>
        <w:t xml:space="preserve"> Texas Assistive Technology Network Statewide Conference</w:t>
      </w:r>
    </w:p>
    <w:p w14:paraId="67238D96" w14:textId="7F79FBE2" w:rsidR="007B2B7E" w:rsidRDefault="00B46667" w:rsidP="00D73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12-13, 2018</w:t>
      </w:r>
    </w:p>
    <w:p w14:paraId="59FB987F" w14:textId="77777777" w:rsidR="00D73DCB" w:rsidRPr="005E7B78" w:rsidRDefault="00D73DCB" w:rsidP="00D73DCB">
      <w:pPr>
        <w:jc w:val="center"/>
        <w:rPr>
          <w:sz w:val="14"/>
        </w:rPr>
      </w:pPr>
    </w:p>
    <w:p w14:paraId="2416144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7E14E751" w14:textId="77777777" w:rsidR="00787B9C" w:rsidRDefault="00787B9C" w:rsidP="00787B9C"/>
    <w:p w14:paraId="02FB147A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754D3E25" w14:textId="77777777" w:rsidR="00597A61" w:rsidRDefault="00597A61" w:rsidP="00787B9C"/>
    <w:p w14:paraId="2F5609A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2BC3D88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5A914E4A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13755C7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868936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EEA9D6B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09A60005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405B73E4" w14:textId="77777777" w:rsidR="00787B9C" w:rsidRDefault="00787B9C" w:rsidP="00787B9C"/>
    <w:p w14:paraId="0F79D4E3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FE8C0E3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F3C95B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424756E1" w14:textId="77777777" w:rsidR="00407DE9" w:rsidRDefault="00104CDA" w:rsidP="00104CDA">
      <w:pPr>
        <w:ind w:left="360"/>
      </w:pPr>
      <w:r>
        <w:t xml:space="preserve"> </w:t>
      </w:r>
    </w:p>
    <w:p w14:paraId="45DCDCB1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450B3BCE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5B022EF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DCFBCF9" w14:textId="77777777" w:rsidR="00407DE9" w:rsidRDefault="00407DE9" w:rsidP="00787B9C">
      <w:pPr>
        <w:ind w:left="-360"/>
      </w:pPr>
    </w:p>
    <w:p w14:paraId="25918C1A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5BB88DCC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224A878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635FE9DE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719BE786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50E05E1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06044882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6D5E4671" w14:textId="77777777" w:rsidR="002C72C0" w:rsidRDefault="002C72C0" w:rsidP="002C72C0">
      <w:pPr>
        <w:jc w:val="center"/>
        <w:rPr>
          <w:u w:val="single"/>
        </w:rPr>
      </w:pPr>
    </w:p>
    <w:p w14:paraId="54C14520" w14:textId="77777777" w:rsidR="002C72C0" w:rsidRDefault="002C72C0" w:rsidP="002C72C0">
      <w:pPr>
        <w:ind w:left="-540"/>
        <w:jc w:val="center"/>
        <w:rPr>
          <w:u w:val="single"/>
        </w:rPr>
      </w:pPr>
    </w:p>
    <w:p w14:paraId="1585C202" w14:textId="59A12116" w:rsidR="00D73DCB" w:rsidRPr="00D73DCB" w:rsidRDefault="00D73DCB" w:rsidP="00D73DCB">
      <w:pPr>
        <w:pStyle w:val="Title"/>
        <w:ind w:left="-90" w:right="-270"/>
        <w:rPr>
          <w:sz w:val="36"/>
          <w:szCs w:val="36"/>
        </w:rPr>
      </w:pPr>
      <w:r w:rsidRPr="00D73DCB">
        <w:rPr>
          <w:sz w:val="36"/>
          <w:szCs w:val="36"/>
        </w:rPr>
        <w:lastRenderedPageBreak/>
        <w:t>201</w:t>
      </w:r>
      <w:r w:rsidR="00B46667">
        <w:rPr>
          <w:sz w:val="36"/>
          <w:szCs w:val="36"/>
        </w:rPr>
        <w:t>8</w:t>
      </w:r>
      <w:r w:rsidRPr="00D73DCB">
        <w:rPr>
          <w:sz w:val="36"/>
          <w:szCs w:val="36"/>
        </w:rPr>
        <w:t xml:space="preserve"> Texas Assistive Technology Network Statewide Conference</w:t>
      </w:r>
    </w:p>
    <w:p w14:paraId="477070FC" w14:textId="6F5ED7D0" w:rsidR="00D73DCB" w:rsidRDefault="00F44EA3" w:rsidP="00D73DCB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B46667">
        <w:rPr>
          <w:sz w:val="36"/>
          <w:szCs w:val="36"/>
        </w:rPr>
        <w:t>12-13</w:t>
      </w:r>
      <w:r>
        <w:rPr>
          <w:sz w:val="36"/>
          <w:szCs w:val="36"/>
        </w:rPr>
        <w:t>, 201</w:t>
      </w:r>
      <w:r w:rsidR="00B46667">
        <w:rPr>
          <w:sz w:val="36"/>
          <w:szCs w:val="36"/>
        </w:rPr>
        <w:t>8</w:t>
      </w:r>
    </w:p>
    <w:p w14:paraId="3FAB5E78" w14:textId="77777777" w:rsidR="00D73DCB" w:rsidRPr="00D73DCB" w:rsidRDefault="00D73DCB" w:rsidP="00D73DCB">
      <w:pPr>
        <w:pStyle w:val="Title"/>
        <w:ind w:left="-90" w:right="-270"/>
        <w:rPr>
          <w:sz w:val="18"/>
          <w:szCs w:val="36"/>
        </w:rPr>
      </w:pPr>
    </w:p>
    <w:p w14:paraId="2C540327" w14:textId="77777777" w:rsidR="00124040" w:rsidRPr="00104CDA" w:rsidRDefault="00903AB3" w:rsidP="00D73DC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2E09B5AD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58B84C4" w14:textId="77777777" w:rsidR="005256F3" w:rsidRDefault="005256F3">
      <w:pPr>
        <w:rPr>
          <w:sz w:val="28"/>
          <w:szCs w:val="28"/>
        </w:rPr>
      </w:pPr>
    </w:p>
    <w:p w14:paraId="147121A8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5324E453" w14:textId="77777777" w:rsidR="00A227F9" w:rsidRDefault="00A227F9" w:rsidP="00A227F9">
      <w:r>
        <w:t xml:space="preserve">Completion of this quiz is a requirement to receive CEUs for attending this seminar.  </w:t>
      </w:r>
      <w:r w:rsidR="00F44EA3" w:rsidRPr="00F44EA3">
        <w:rPr>
          <w:highlight w:val="yellow"/>
        </w:rPr>
        <w:t>Highlight/Underline/</w:t>
      </w:r>
      <w:r w:rsidRPr="00F44EA3">
        <w:rPr>
          <w:highlight w:val="yellow"/>
        </w:rPr>
        <w:t>Circle</w:t>
      </w:r>
      <w:r>
        <w:t xml:space="preserve"> the correct answer to each question.  You must pass with 80% correct to be eligible for CEUs.</w:t>
      </w:r>
    </w:p>
    <w:p w14:paraId="49582A21" w14:textId="77777777" w:rsidR="00F44EA3" w:rsidRDefault="00F44EA3" w:rsidP="00F44EA3">
      <w:pPr>
        <w:ind w:left="720"/>
        <w:rPr>
          <w:rFonts w:ascii="Cambria" w:eastAsia="Cambria" w:hAnsi="Cambria"/>
        </w:rPr>
      </w:pPr>
    </w:p>
    <w:p w14:paraId="033A382F" w14:textId="60AC87E4" w:rsidR="00B46667" w:rsidRPr="00B46667" w:rsidRDefault="00F44EA3" w:rsidP="00B46667">
      <w:pPr>
        <w:ind w:left="720" w:hanging="360"/>
        <w:rPr>
          <w:rFonts w:ascii="Cambria" w:eastAsia="Cambria" w:hAnsi="Cambria"/>
        </w:rPr>
      </w:pPr>
      <w:r w:rsidRPr="00F44EA3">
        <w:rPr>
          <w:rFonts w:ascii="Cambria" w:eastAsia="Cambria" w:hAnsi="Cambria"/>
        </w:rPr>
        <w:t xml:space="preserve">1.  </w:t>
      </w:r>
      <w:r w:rsidR="00B46667" w:rsidRPr="00B46667">
        <w:rPr>
          <w:rFonts w:ascii="Cambria" w:eastAsia="Cambria" w:hAnsi="Cambria"/>
        </w:rPr>
        <w:t xml:space="preserve">Chip Clarke provided a training on ALP which is a procedure for learning how to use </w:t>
      </w:r>
      <w:r w:rsidR="00B46667">
        <w:rPr>
          <w:rFonts w:ascii="Cambria" w:eastAsia="Cambria" w:hAnsi="Cambria"/>
        </w:rPr>
        <w:t xml:space="preserve">    </w:t>
      </w:r>
      <w:r w:rsidR="00B46667" w:rsidRPr="00B46667">
        <w:rPr>
          <w:rFonts w:ascii="Cambria" w:eastAsia="Cambria" w:hAnsi="Cambria"/>
        </w:rPr>
        <w:t>AAC technology.  ALP stands for:</w:t>
      </w:r>
    </w:p>
    <w:p w14:paraId="6B8A18F2" w14:textId="77777777" w:rsidR="00B46667" w:rsidRPr="00B46667" w:rsidRDefault="00B46667" w:rsidP="00B46667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Augmentative Listening Plan</w:t>
      </w:r>
    </w:p>
    <w:p w14:paraId="2BEBECC3" w14:textId="77777777" w:rsidR="00B46667" w:rsidRPr="00B46667" w:rsidRDefault="00B46667" w:rsidP="00B46667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Access Learning Protocol</w:t>
      </w:r>
    </w:p>
    <w:p w14:paraId="14E6AE2A" w14:textId="77777777" w:rsidR="00B46667" w:rsidRPr="00B46667" w:rsidRDefault="00B46667" w:rsidP="00B46667">
      <w:pPr>
        <w:numPr>
          <w:ilvl w:val="0"/>
          <w:numId w:val="28"/>
        </w:numPr>
        <w:contextualSpacing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Augmentative Language Protocol</w:t>
      </w:r>
    </w:p>
    <w:p w14:paraId="70B4330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7A313D12" w14:textId="2A8690C6" w:rsidR="00B46667" w:rsidRPr="00B46667" w:rsidRDefault="00B46667" w:rsidP="00B46667">
      <w:pPr>
        <w:autoSpaceDE w:val="0"/>
        <w:autoSpaceDN w:val="0"/>
        <w:adjustRightInd w:val="0"/>
        <w:ind w:left="720" w:hanging="720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</w:t>
      </w:r>
      <w:r w:rsidRPr="00B46667">
        <w:rPr>
          <w:rFonts w:ascii="Cambria" w:eastAsia="Cambria" w:hAnsi="Cambria"/>
        </w:rPr>
        <w:t>2. G</w:t>
      </w:r>
      <w:r w:rsidRPr="00B46667">
        <w:rPr>
          <w:rFonts w:ascii="Cambria" w:eastAsia="Cambria" w:hAnsi="Cambria" w:cs="Calibri"/>
        </w:rPr>
        <w:t>reen screen techniques can superimpose students on</w:t>
      </w:r>
      <w:r>
        <w:rPr>
          <w:rFonts w:ascii="Cambria" w:eastAsia="Cambria" w:hAnsi="Cambria" w:cs="Calibri"/>
        </w:rPr>
        <w:t xml:space="preserve"> </w:t>
      </w:r>
      <w:r w:rsidRPr="00B46667">
        <w:rPr>
          <w:rFonts w:ascii="Cambria" w:eastAsia="Cambria" w:hAnsi="Cambria" w:cs="Calibri"/>
        </w:rPr>
        <w:t>to</w:t>
      </w:r>
      <w:r>
        <w:rPr>
          <w:rFonts w:ascii="Cambria" w:eastAsia="Cambria" w:hAnsi="Cambria" w:cs="Calibri"/>
        </w:rPr>
        <w:t xml:space="preserve"> </w:t>
      </w:r>
      <w:r w:rsidRPr="00B46667">
        <w:rPr>
          <w:rFonts w:ascii="Cambria" w:eastAsia="Cambria" w:hAnsi="Cambria" w:cs="Calibri"/>
        </w:rPr>
        <w:t xml:space="preserve">any virtual background </w:t>
      </w:r>
      <w:r>
        <w:rPr>
          <w:rFonts w:ascii="Cambria" w:eastAsia="Cambria" w:hAnsi="Cambria" w:cs="Calibri"/>
        </w:rPr>
        <w:t xml:space="preserve">                  </w:t>
      </w:r>
      <w:r w:rsidRPr="00B46667">
        <w:rPr>
          <w:rFonts w:ascii="Cambria" w:eastAsia="Cambria" w:hAnsi="Cambria" w:cs="Calibri"/>
        </w:rPr>
        <w:t>according to Dan Herlihy.</w:t>
      </w:r>
      <w:r>
        <w:rPr>
          <w:rFonts w:ascii="Cambria" w:eastAsia="Cambria" w:hAnsi="Cambria" w:cs="Calibri"/>
        </w:rPr>
        <w:t xml:space="preserve">     _______________True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_______________False</w:t>
      </w:r>
    </w:p>
    <w:p w14:paraId="22FCDDFA" w14:textId="77777777" w:rsidR="00B46667" w:rsidRDefault="00B46667" w:rsidP="00B46667">
      <w:pPr>
        <w:autoSpaceDE w:val="0"/>
        <w:autoSpaceDN w:val="0"/>
        <w:adjustRightInd w:val="0"/>
        <w:rPr>
          <w:rFonts w:ascii="Cambria" w:eastAsia="Cambria" w:hAnsi="Cambria"/>
        </w:rPr>
      </w:pPr>
    </w:p>
    <w:p w14:paraId="0FFE10BD" w14:textId="52942E12" w:rsidR="00B46667" w:rsidRDefault="00B46667" w:rsidP="00B46667">
      <w:pPr>
        <w:autoSpaceDE w:val="0"/>
        <w:autoSpaceDN w:val="0"/>
        <w:adjustRightInd w:val="0"/>
        <w:ind w:left="720" w:hanging="720"/>
        <w:rPr>
          <w:rFonts w:ascii="Cambria" w:eastAsia="Cambria" w:hAnsi="Cambria" w:cs="Calibri"/>
        </w:rPr>
      </w:pPr>
      <w:r>
        <w:rPr>
          <w:rFonts w:ascii="Cambria" w:eastAsia="Cambria" w:hAnsi="Cambria"/>
        </w:rPr>
        <w:t xml:space="preserve">       </w:t>
      </w:r>
      <w:r w:rsidRPr="00B46667">
        <w:rPr>
          <w:rFonts w:ascii="Cambria" w:eastAsia="Cambria" w:hAnsi="Cambria"/>
        </w:rPr>
        <w:t xml:space="preserve">3.  According to Deanna Wagner, </w:t>
      </w:r>
      <w:r w:rsidRPr="00B46667">
        <w:rPr>
          <w:rFonts w:ascii="Cambria" w:eastAsia="Cambria" w:hAnsi="Cambria" w:cs="Calibri"/>
        </w:rPr>
        <w:t xml:space="preserve">by practicing commenting forms of recurrence, negation, and disappearance, emerging communicators will extend social engagement which leads to establishing and/or maintaining relationships. </w:t>
      </w:r>
    </w:p>
    <w:p w14:paraId="19B84215" w14:textId="3E254303" w:rsidR="00B46667" w:rsidRPr="00B46667" w:rsidRDefault="00B46667" w:rsidP="00B46667">
      <w:pPr>
        <w:autoSpaceDE w:val="0"/>
        <w:autoSpaceDN w:val="0"/>
        <w:adjustRightInd w:val="0"/>
        <w:ind w:left="720" w:hanging="720"/>
        <w:rPr>
          <w:rFonts w:ascii="Cambria" w:eastAsia="Cambria" w:hAnsi="Cambria"/>
        </w:rPr>
      </w:pP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______________False</w:t>
      </w:r>
    </w:p>
    <w:p w14:paraId="20D4E426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22415634" w14:textId="77777777" w:rsidR="00B46667" w:rsidRPr="00B46667" w:rsidRDefault="00B46667" w:rsidP="00B46667">
      <w:pPr>
        <w:autoSpaceDE w:val="0"/>
        <w:autoSpaceDN w:val="0"/>
        <w:adjustRightInd w:val="0"/>
        <w:ind w:left="720" w:hanging="360"/>
        <w:rPr>
          <w:rFonts w:ascii="Cambria" w:eastAsia="Cambria" w:hAnsi="Cambria" w:cs="Calibri"/>
        </w:rPr>
      </w:pPr>
      <w:r w:rsidRPr="00B46667">
        <w:rPr>
          <w:rFonts w:ascii="Cambria" w:eastAsia="Cambria" w:hAnsi="Cambria"/>
        </w:rPr>
        <w:t xml:space="preserve">4.  </w:t>
      </w:r>
      <w:r w:rsidRPr="00B46667">
        <w:rPr>
          <w:rFonts w:ascii="Cambria" w:eastAsia="Cambria" w:hAnsi="Cambria" w:cs="Calibri"/>
        </w:rPr>
        <w:t xml:space="preserve">Diana </w:t>
      </w:r>
      <w:proofErr w:type="spellStart"/>
      <w:r w:rsidRPr="00B46667">
        <w:rPr>
          <w:rFonts w:ascii="Cambria" w:eastAsia="Cambria" w:hAnsi="Cambria" w:cs="Calibri"/>
        </w:rPr>
        <w:t>Petschauer</w:t>
      </w:r>
      <w:proofErr w:type="spellEnd"/>
      <w:r w:rsidRPr="00B46667">
        <w:rPr>
          <w:rFonts w:ascii="Cambria" w:eastAsia="Cambria" w:hAnsi="Cambria" w:cs="Calibri"/>
        </w:rPr>
        <w:t xml:space="preserve"> reports that transition from high school to college is a significant and critical time in a student's life and the following skills need to be taught to insure the transition is successful.</w:t>
      </w:r>
    </w:p>
    <w:p w14:paraId="3F94DEE9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a. </w:t>
      </w:r>
      <w:r w:rsidRPr="00B46667">
        <w:rPr>
          <w:rFonts w:ascii="Cambria" w:eastAsia="Cambria" w:hAnsi="Cambria" w:cs="Calibri"/>
        </w:rPr>
        <w:t>Self‐advocacy and awareness skills</w:t>
      </w:r>
    </w:p>
    <w:p w14:paraId="4D385833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b. </w:t>
      </w:r>
      <w:r w:rsidRPr="00B46667">
        <w:rPr>
          <w:rFonts w:ascii="Cambria" w:eastAsia="Cambria" w:hAnsi="Cambria" w:cs="Calibri"/>
        </w:rPr>
        <w:t>The importance of communication with professors and instructors</w:t>
      </w:r>
    </w:p>
    <w:p w14:paraId="059C8847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How to share your personal information with other students</w:t>
      </w:r>
    </w:p>
    <w:p w14:paraId="6124C6E9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d. Both a and b</w:t>
      </w:r>
    </w:p>
    <w:p w14:paraId="5AEFBE8C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3A6DDBE6" w14:textId="77777777" w:rsidR="00B46667" w:rsidRPr="00B46667" w:rsidRDefault="00B46667" w:rsidP="00B46667">
      <w:pPr>
        <w:ind w:left="720" w:hanging="36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 xml:space="preserve">5.  According to Luis Perez, </w:t>
      </w:r>
      <w:r w:rsidRPr="00B46667">
        <w:rPr>
          <w:rFonts w:ascii="Cambria" w:eastAsia="Cambria" w:hAnsi="Cambria" w:cs="Calibri"/>
        </w:rPr>
        <w:t>text to speech is a powerful support for a variety of learners with print disabilities</w:t>
      </w:r>
      <w:r w:rsidRPr="00B46667">
        <w:rPr>
          <w:rFonts w:ascii="Cambria" w:eastAsia="Cambria" w:hAnsi="Cambria"/>
        </w:rPr>
        <w:t xml:space="preserve"> to include those who are blind and those with dyslexia.  Text to speech can be accessed on the following platform/s:</w:t>
      </w:r>
    </w:p>
    <w:p w14:paraId="2399D4A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a. iOS</w:t>
      </w:r>
    </w:p>
    <w:p w14:paraId="5F7F08AA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b. Windows</w:t>
      </w:r>
    </w:p>
    <w:p w14:paraId="277C5C58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Google Home</w:t>
      </w:r>
    </w:p>
    <w:p w14:paraId="68EF55BC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d. </w:t>
      </w:r>
      <w:proofErr w:type="gramStart"/>
      <w:r w:rsidRPr="00B46667">
        <w:rPr>
          <w:rFonts w:ascii="Cambria" w:eastAsia="Cambria" w:hAnsi="Cambria"/>
        </w:rPr>
        <w:t>all of</w:t>
      </w:r>
      <w:proofErr w:type="gramEnd"/>
      <w:r w:rsidRPr="00B46667">
        <w:rPr>
          <w:rFonts w:ascii="Cambria" w:eastAsia="Cambria" w:hAnsi="Cambria"/>
        </w:rPr>
        <w:t xml:space="preserve"> the above </w:t>
      </w:r>
    </w:p>
    <w:p w14:paraId="40B90F39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1689D633" w14:textId="6ED41048" w:rsidR="00B46667" w:rsidRDefault="00B46667" w:rsidP="00B46667">
      <w:pPr>
        <w:ind w:firstLine="45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 xml:space="preserve">6.  According to Stacy McBain, play interferes with appropriate learning in the classroom. </w:t>
      </w:r>
    </w:p>
    <w:p w14:paraId="58817BDD" w14:textId="1397DC74" w:rsidR="00B46667" w:rsidRPr="00B46667" w:rsidRDefault="00B46667" w:rsidP="00B46667">
      <w:pPr>
        <w:ind w:firstLine="450"/>
        <w:rPr>
          <w:rFonts w:ascii="Cambria" w:eastAsia="Cambria" w:hAnsi="Cambria"/>
        </w:rPr>
      </w:pP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______________False</w:t>
      </w:r>
    </w:p>
    <w:p w14:paraId="056A1EC7" w14:textId="77777777" w:rsidR="00B46667" w:rsidRDefault="00B46667" w:rsidP="00B46667">
      <w:pPr>
        <w:autoSpaceDE w:val="0"/>
        <w:autoSpaceDN w:val="0"/>
        <w:adjustRightInd w:val="0"/>
        <w:rPr>
          <w:rFonts w:ascii="Cambria" w:eastAsia="Cambria" w:hAnsi="Cambria"/>
        </w:rPr>
      </w:pPr>
    </w:p>
    <w:p w14:paraId="18B1B3C4" w14:textId="7A2738D6" w:rsidR="00B46667" w:rsidRDefault="00B46667" w:rsidP="00B46667">
      <w:pPr>
        <w:autoSpaceDE w:val="0"/>
        <w:autoSpaceDN w:val="0"/>
        <w:adjustRightInd w:val="0"/>
        <w:ind w:left="720" w:hanging="270"/>
        <w:rPr>
          <w:rFonts w:ascii="Cambria" w:eastAsia="Cambria" w:hAnsi="Cambria" w:cs="Calibri"/>
        </w:rPr>
      </w:pPr>
      <w:r w:rsidRPr="00B46667">
        <w:rPr>
          <w:rFonts w:ascii="Cambria" w:eastAsia="Cambria" w:hAnsi="Cambria"/>
        </w:rPr>
        <w:t xml:space="preserve">7.  According to Gail Van </w:t>
      </w:r>
      <w:proofErr w:type="spellStart"/>
      <w:r w:rsidRPr="00B46667">
        <w:rPr>
          <w:rFonts w:ascii="Cambria" w:eastAsia="Cambria" w:hAnsi="Cambria"/>
        </w:rPr>
        <w:t>Tatenhove</w:t>
      </w:r>
      <w:proofErr w:type="spellEnd"/>
      <w:r w:rsidRPr="00B46667">
        <w:rPr>
          <w:rFonts w:ascii="Cambria" w:eastAsia="Cambria" w:hAnsi="Cambria"/>
        </w:rPr>
        <w:t xml:space="preserve">, figurative language and advanced words lead to </w:t>
      </w:r>
      <w:r w:rsidRPr="00B46667">
        <w:rPr>
          <w:rFonts w:ascii="Cambria" w:eastAsia="Cambria" w:hAnsi="Cambria" w:cs="Calibri"/>
        </w:rPr>
        <w:t>challenges for secondary students using AAC systems.</w:t>
      </w:r>
    </w:p>
    <w:p w14:paraId="4DBC6945" w14:textId="48727728" w:rsidR="00B46667" w:rsidRPr="00B46667" w:rsidRDefault="00B46667" w:rsidP="00B46667">
      <w:pPr>
        <w:autoSpaceDE w:val="0"/>
        <w:autoSpaceDN w:val="0"/>
        <w:adjustRightInd w:val="0"/>
        <w:ind w:left="720" w:hanging="270"/>
        <w:rPr>
          <w:rFonts w:ascii="Cambria" w:eastAsia="Cambria" w:hAnsi="Cambria" w:cs="Calibri"/>
        </w:rPr>
      </w:pP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______________False</w:t>
      </w:r>
    </w:p>
    <w:p w14:paraId="744A2DAF" w14:textId="6A520EDF" w:rsidR="00B46667" w:rsidRDefault="00B46667" w:rsidP="00B46667">
      <w:pPr>
        <w:ind w:left="720"/>
        <w:rPr>
          <w:rFonts w:ascii="Cambria" w:eastAsia="Cambria" w:hAnsi="Cambria"/>
        </w:rPr>
      </w:pPr>
    </w:p>
    <w:p w14:paraId="69117CF1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5CC7775A" w14:textId="77777777" w:rsidR="00B46667" w:rsidRPr="00B46667" w:rsidRDefault="00B46667" w:rsidP="00B46667">
      <w:pPr>
        <w:autoSpaceDE w:val="0"/>
        <w:autoSpaceDN w:val="0"/>
        <w:adjustRightInd w:val="0"/>
        <w:ind w:left="720" w:hanging="27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8. In Stacy McBain’s presentation, she discussed Universal Design for Learning principles which include:</w:t>
      </w:r>
    </w:p>
    <w:p w14:paraId="6B3A9D5F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a. multiple means of engagement</w:t>
      </w:r>
    </w:p>
    <w:p w14:paraId="42B4320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b. multiple means of representation</w:t>
      </w:r>
    </w:p>
    <w:p w14:paraId="15EF512B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multiple means of action and expression</w:t>
      </w:r>
    </w:p>
    <w:p w14:paraId="19099B51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d. </w:t>
      </w:r>
      <w:proofErr w:type="gramStart"/>
      <w:r w:rsidRPr="00B46667">
        <w:rPr>
          <w:rFonts w:ascii="Cambria" w:eastAsia="Cambria" w:hAnsi="Cambria"/>
        </w:rPr>
        <w:t>All of</w:t>
      </w:r>
      <w:proofErr w:type="gramEnd"/>
      <w:r w:rsidRPr="00B46667">
        <w:rPr>
          <w:rFonts w:ascii="Cambria" w:eastAsia="Cambria" w:hAnsi="Cambria"/>
        </w:rPr>
        <w:t xml:space="preserve"> the above</w:t>
      </w:r>
    </w:p>
    <w:p w14:paraId="20982AD9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08B0980F" w14:textId="5A4BE42B" w:rsidR="00B46667" w:rsidRPr="00B46667" w:rsidRDefault="00B46667" w:rsidP="00B46667">
      <w:pPr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</w:t>
      </w:r>
      <w:r w:rsidRPr="00B46667">
        <w:rPr>
          <w:rFonts w:ascii="Cambria" w:eastAsia="Cambria" w:hAnsi="Cambria"/>
        </w:rPr>
        <w:t>9.  According to Mark Coppin, many students struggle with:</w:t>
      </w:r>
    </w:p>
    <w:p w14:paraId="79C62707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a. identifying switches</w:t>
      </w:r>
    </w:p>
    <w:p w14:paraId="41D41E7F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b. organization</w:t>
      </w:r>
    </w:p>
    <w:p w14:paraId="01A2B7CC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posting on social media</w:t>
      </w:r>
    </w:p>
    <w:p w14:paraId="5A71AF6D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d. </w:t>
      </w:r>
      <w:proofErr w:type="gramStart"/>
      <w:r w:rsidRPr="00B46667">
        <w:rPr>
          <w:rFonts w:ascii="Cambria" w:eastAsia="Cambria" w:hAnsi="Cambria"/>
        </w:rPr>
        <w:t>All of</w:t>
      </w:r>
      <w:proofErr w:type="gramEnd"/>
      <w:r w:rsidRPr="00B46667">
        <w:rPr>
          <w:rFonts w:ascii="Cambria" w:eastAsia="Cambria" w:hAnsi="Cambria"/>
        </w:rPr>
        <w:t xml:space="preserve"> the above</w:t>
      </w:r>
    </w:p>
    <w:p w14:paraId="5663C9C8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4D40D326" w14:textId="77777777" w:rsidR="00B46667" w:rsidRPr="00B46667" w:rsidRDefault="00B46667" w:rsidP="00B46667">
      <w:pPr>
        <w:ind w:left="720" w:hanging="36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10.  Luis Perez discussed apps to increase accessibility and included some with OCR which stands for:</w:t>
      </w:r>
    </w:p>
    <w:p w14:paraId="4AF13C4F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a. Observable Chrome Resources</w:t>
      </w:r>
    </w:p>
    <w:p w14:paraId="23A384EF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b. Other Computer Reminders</w:t>
      </w:r>
    </w:p>
    <w:p w14:paraId="532F7D5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Optical Character Recognition</w:t>
      </w:r>
    </w:p>
    <w:p w14:paraId="5FE78AFA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d. none of the above</w:t>
      </w:r>
    </w:p>
    <w:p w14:paraId="50CB9101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47B4DE49" w14:textId="691A55E8" w:rsidR="00B46667" w:rsidRPr="00B46667" w:rsidRDefault="00B46667" w:rsidP="00B46667">
      <w:pPr>
        <w:autoSpaceDE w:val="0"/>
        <w:autoSpaceDN w:val="0"/>
        <w:adjustRightInd w:val="0"/>
        <w:ind w:left="990" w:hanging="63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11.  According to Michelle Lange, s</w:t>
      </w:r>
      <w:r w:rsidRPr="00B46667">
        <w:rPr>
          <w:rFonts w:ascii="Cambria" w:eastAsia="Cambria" w:hAnsi="Cambria" w:cs="Calibri"/>
        </w:rPr>
        <w:t>witch assessment</w:t>
      </w:r>
      <w:r>
        <w:rPr>
          <w:rFonts w:ascii="Cambria" w:eastAsia="Cambria" w:hAnsi="Cambria" w:cs="Calibri"/>
        </w:rPr>
        <w:t xml:space="preserve"> </w:t>
      </w:r>
      <w:r w:rsidRPr="00B46667">
        <w:rPr>
          <w:rFonts w:ascii="Cambria" w:eastAsia="Cambria" w:hAnsi="Cambria" w:cs="Calibri"/>
        </w:rPr>
        <w:t>determines the optimal switch location and switch type.</w:t>
      </w:r>
      <w:r>
        <w:rPr>
          <w:rFonts w:ascii="Cambria" w:eastAsia="Cambria" w:hAnsi="Cambria" w:cs="Calibri"/>
        </w:rPr>
        <w:t xml:space="preserve">        _______________True</w:t>
      </w:r>
      <w:r>
        <w:rPr>
          <w:rFonts w:ascii="Cambria" w:eastAsia="Cambria" w:hAnsi="Cambria" w:cs="Calibri"/>
        </w:rPr>
        <w:tab/>
      </w:r>
      <w:r>
        <w:rPr>
          <w:rFonts w:ascii="Cambria" w:eastAsia="Cambria" w:hAnsi="Cambria" w:cs="Calibri"/>
        </w:rPr>
        <w:tab/>
        <w:t>______________False</w:t>
      </w:r>
    </w:p>
    <w:p w14:paraId="00C06307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6FA3A21C" w14:textId="042312C1" w:rsidR="00B46667" w:rsidRPr="00B46667" w:rsidRDefault="00B46667" w:rsidP="00B46667">
      <w:pPr>
        <w:ind w:left="900" w:hanging="54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 xml:space="preserve">12. Luis Perez does not feel text to speech should be used to support learners with print disabilities.  </w:t>
      </w:r>
      <w:r>
        <w:rPr>
          <w:rFonts w:ascii="Cambria" w:eastAsia="Cambria" w:hAnsi="Cambria"/>
        </w:rPr>
        <w:tab/>
        <w:t>______________True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______________False</w:t>
      </w:r>
    </w:p>
    <w:p w14:paraId="738F109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527B94EB" w14:textId="31685472" w:rsidR="00B46667" w:rsidRPr="00B46667" w:rsidRDefault="00B46667" w:rsidP="00B46667">
      <w:pPr>
        <w:ind w:left="900" w:hanging="54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13.  Susan Stokes feels free web‐based resources to assist in understanding and programming for the unique learning and behavioral needs of students with ASD are appropriate.</w:t>
      </w:r>
      <w:r>
        <w:rPr>
          <w:rFonts w:ascii="Cambria" w:eastAsia="Cambria" w:hAnsi="Cambria"/>
        </w:rPr>
        <w:t xml:space="preserve">   </w:t>
      </w:r>
      <w:r>
        <w:rPr>
          <w:rFonts w:ascii="Cambria" w:eastAsia="Cambria" w:hAnsi="Cambria"/>
        </w:rPr>
        <w:tab/>
        <w:t>______________True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______________False</w:t>
      </w:r>
    </w:p>
    <w:p w14:paraId="6A0CDA27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0A1A01C2" w14:textId="77777777" w:rsidR="00B46667" w:rsidRPr="00B46667" w:rsidRDefault="00B46667" w:rsidP="00B46667">
      <w:pPr>
        <w:ind w:left="720" w:hanging="36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>14.  Stacy McBain believes that with the right supports, all students can ___________.</w:t>
      </w:r>
      <w:r w:rsidRPr="00B46667">
        <w:rPr>
          <w:rFonts w:ascii="Cambria" w:eastAsia="Cambria" w:hAnsi="Cambria"/>
        </w:rPr>
        <w:tab/>
        <w:t xml:space="preserve"> </w:t>
      </w:r>
    </w:p>
    <w:p w14:paraId="22C21F0F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a. </w:t>
      </w:r>
      <w:proofErr w:type="gramStart"/>
      <w:r w:rsidRPr="00B46667">
        <w:rPr>
          <w:rFonts w:ascii="Cambria" w:eastAsia="Cambria" w:hAnsi="Cambria"/>
        </w:rPr>
        <w:t>buckle</w:t>
      </w:r>
      <w:proofErr w:type="gramEnd"/>
      <w:r w:rsidRPr="00B46667">
        <w:rPr>
          <w:rFonts w:ascii="Cambria" w:eastAsia="Cambria" w:hAnsi="Cambria"/>
        </w:rPr>
        <w:t xml:space="preserve"> their seatbelt</w:t>
      </w:r>
    </w:p>
    <w:p w14:paraId="0C2E430A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b. </w:t>
      </w:r>
      <w:proofErr w:type="gramStart"/>
      <w:r w:rsidRPr="00B46667">
        <w:rPr>
          <w:rFonts w:ascii="Cambria" w:eastAsia="Cambria" w:hAnsi="Cambria"/>
        </w:rPr>
        <w:t>learn</w:t>
      </w:r>
      <w:proofErr w:type="gramEnd"/>
    </w:p>
    <w:p w14:paraId="65CEA023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c. </w:t>
      </w:r>
      <w:proofErr w:type="gramStart"/>
      <w:r w:rsidRPr="00B46667">
        <w:rPr>
          <w:rFonts w:ascii="Cambria" w:eastAsia="Cambria" w:hAnsi="Cambria"/>
        </w:rPr>
        <w:t>see</w:t>
      </w:r>
      <w:proofErr w:type="gramEnd"/>
    </w:p>
    <w:p w14:paraId="42E23FD2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d. </w:t>
      </w:r>
      <w:proofErr w:type="gramStart"/>
      <w:r w:rsidRPr="00B46667">
        <w:rPr>
          <w:rFonts w:ascii="Cambria" w:eastAsia="Cambria" w:hAnsi="Cambria"/>
        </w:rPr>
        <w:t>all of</w:t>
      </w:r>
      <w:proofErr w:type="gramEnd"/>
      <w:r w:rsidRPr="00B46667">
        <w:rPr>
          <w:rFonts w:ascii="Cambria" w:eastAsia="Cambria" w:hAnsi="Cambria"/>
        </w:rPr>
        <w:t xml:space="preserve"> the above</w:t>
      </w:r>
    </w:p>
    <w:p w14:paraId="7CB744B6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1DD3E9C3" w14:textId="77777777" w:rsidR="00B46667" w:rsidRPr="00B46667" w:rsidRDefault="00B46667" w:rsidP="00B46667">
      <w:pPr>
        <w:ind w:left="720" w:hanging="360"/>
        <w:rPr>
          <w:rFonts w:ascii="Cambria" w:eastAsia="Cambria" w:hAnsi="Cambria"/>
        </w:rPr>
      </w:pPr>
      <w:bookmarkStart w:id="0" w:name="_GoBack"/>
      <w:bookmarkEnd w:id="0"/>
      <w:r w:rsidRPr="00B46667">
        <w:rPr>
          <w:rFonts w:ascii="Cambria" w:eastAsia="Cambria" w:hAnsi="Cambria"/>
        </w:rPr>
        <w:t>15.  According to Stacy McBain, meaningful participation at school can be facilitated by:</w:t>
      </w:r>
    </w:p>
    <w:p w14:paraId="65BBAA31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a. altering access</w:t>
      </w:r>
    </w:p>
    <w:p w14:paraId="6B7CF729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b. altering content</w:t>
      </w:r>
    </w:p>
    <w:p w14:paraId="3422C62C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>c. altering materials</w:t>
      </w:r>
    </w:p>
    <w:p w14:paraId="35195D94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  <w:r w:rsidRPr="00B46667">
        <w:rPr>
          <w:rFonts w:ascii="Cambria" w:eastAsia="Cambria" w:hAnsi="Cambria"/>
        </w:rPr>
        <w:tab/>
        <w:t xml:space="preserve">d. </w:t>
      </w:r>
      <w:proofErr w:type="gramStart"/>
      <w:r w:rsidRPr="00B46667">
        <w:rPr>
          <w:rFonts w:ascii="Cambria" w:eastAsia="Cambria" w:hAnsi="Cambria"/>
        </w:rPr>
        <w:t>All of</w:t>
      </w:r>
      <w:proofErr w:type="gramEnd"/>
      <w:r w:rsidRPr="00B46667">
        <w:rPr>
          <w:rFonts w:ascii="Cambria" w:eastAsia="Cambria" w:hAnsi="Cambria"/>
        </w:rPr>
        <w:t xml:space="preserve"> the above</w:t>
      </w:r>
    </w:p>
    <w:p w14:paraId="2927B735" w14:textId="77777777" w:rsidR="00B46667" w:rsidRPr="00B46667" w:rsidRDefault="00B46667" w:rsidP="00B46667">
      <w:pPr>
        <w:ind w:left="720"/>
        <w:rPr>
          <w:rFonts w:ascii="Cambria" w:eastAsia="Cambria" w:hAnsi="Cambria"/>
        </w:rPr>
      </w:pPr>
    </w:p>
    <w:p w14:paraId="414332CA" w14:textId="5B6D17E3" w:rsidR="00F44EA3" w:rsidRPr="00F44EA3" w:rsidRDefault="00F44EA3" w:rsidP="00B46667">
      <w:pPr>
        <w:ind w:left="720"/>
        <w:rPr>
          <w:rFonts w:ascii="Cambria" w:eastAsia="Cambria" w:hAnsi="Cambria"/>
        </w:rPr>
      </w:pPr>
    </w:p>
    <w:p w14:paraId="4A0035BD" w14:textId="77777777" w:rsidR="00F44EA3" w:rsidRPr="00F44EA3" w:rsidRDefault="00F44EA3" w:rsidP="00F44EA3">
      <w:pPr>
        <w:ind w:left="720"/>
        <w:rPr>
          <w:rFonts w:ascii="Cambria" w:eastAsia="Cambria" w:hAnsi="Cambria"/>
        </w:rPr>
      </w:pPr>
    </w:p>
    <w:p w14:paraId="051A8302" w14:textId="77777777" w:rsidR="00124040" w:rsidRPr="0017649D" w:rsidRDefault="00D73DCB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6520940E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3DCB">
          <w:type w:val="continuous"/>
          <w:pgSz w:w="12240" w:h="15840"/>
          <w:pgMar w:top="540" w:right="900" w:bottom="540" w:left="990" w:header="720" w:footer="720" w:gutter="0"/>
          <w:cols w:space="720" w:equalWidth="0">
            <w:col w:w="9810"/>
          </w:cols>
          <w:docGrid w:linePitch="360"/>
        </w:sectPr>
      </w:pPr>
    </w:p>
    <w:p w14:paraId="2DDCBCFF" w14:textId="77777777" w:rsidR="00124040" w:rsidRDefault="00124040">
      <w:pPr>
        <w:tabs>
          <w:tab w:val="left" w:pos="9270"/>
        </w:tabs>
      </w:pPr>
    </w:p>
    <w:p w14:paraId="084B494C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B47A719" w14:textId="77777777" w:rsidR="00124040" w:rsidRDefault="00124040">
      <w:pPr>
        <w:tabs>
          <w:tab w:val="left" w:pos="9270"/>
        </w:tabs>
        <w:rPr>
          <w:u w:val="single"/>
        </w:rPr>
      </w:pPr>
    </w:p>
    <w:p w14:paraId="16E256A8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4232614" w14:textId="77777777" w:rsidR="00772BA0" w:rsidRDefault="00772BA0" w:rsidP="00772BA0">
      <w:pPr>
        <w:tabs>
          <w:tab w:val="left" w:pos="9270"/>
        </w:tabs>
        <w:rPr>
          <w:u w:val="single"/>
        </w:rPr>
      </w:pPr>
    </w:p>
    <w:p w14:paraId="537885D6" w14:textId="77777777" w:rsidR="00AC3520" w:rsidRDefault="00AC3520">
      <w:pPr>
        <w:tabs>
          <w:tab w:val="left" w:pos="9270"/>
        </w:tabs>
        <w:rPr>
          <w:u w:val="single"/>
        </w:rPr>
      </w:pPr>
    </w:p>
    <w:p w14:paraId="51B341E6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0D9E" w14:textId="77777777" w:rsidR="00EC481C" w:rsidRDefault="00EC481C">
      <w:r>
        <w:separator/>
      </w:r>
    </w:p>
  </w:endnote>
  <w:endnote w:type="continuationSeparator" w:id="0">
    <w:p w14:paraId="4A92C6CA" w14:textId="77777777" w:rsidR="00EC481C" w:rsidRDefault="00E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8A8C" w14:textId="77777777" w:rsidR="00EC481C" w:rsidRDefault="00EC481C">
      <w:r>
        <w:separator/>
      </w:r>
    </w:p>
  </w:footnote>
  <w:footnote w:type="continuationSeparator" w:id="0">
    <w:p w14:paraId="1E53BD45" w14:textId="77777777" w:rsidR="00EC481C" w:rsidRDefault="00EC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D83CC4"/>
    <w:multiLevelType w:val="hybridMultilevel"/>
    <w:tmpl w:val="635C6100"/>
    <w:lvl w:ilvl="0" w:tplc="3DB82A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2"/>
  </w:num>
  <w:num w:numId="12">
    <w:abstractNumId w:val="8"/>
  </w:num>
  <w:num w:numId="13">
    <w:abstractNumId w:val="20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3"/>
  </w:num>
  <w:num w:numId="22">
    <w:abstractNumId w:val="18"/>
  </w:num>
  <w:num w:numId="23">
    <w:abstractNumId w:val="16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343F"/>
    <w:rsid w:val="00056C75"/>
    <w:rsid w:val="0009245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948A1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4666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3DCB"/>
    <w:rsid w:val="00D77028"/>
    <w:rsid w:val="00DB2E0F"/>
    <w:rsid w:val="00DB388F"/>
    <w:rsid w:val="00DC2179"/>
    <w:rsid w:val="00DE5D53"/>
    <w:rsid w:val="00E00CE0"/>
    <w:rsid w:val="00E132CE"/>
    <w:rsid w:val="00EC481C"/>
    <w:rsid w:val="00EC4D1A"/>
    <w:rsid w:val="00ED6508"/>
    <w:rsid w:val="00EE04DB"/>
    <w:rsid w:val="00F01F60"/>
    <w:rsid w:val="00F37E70"/>
    <w:rsid w:val="00F44EA3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C790B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2018-05-08T16:57:00Z</dcterms:created>
  <dcterms:modified xsi:type="dcterms:W3CDTF">2018-05-08T16:57:00Z</dcterms:modified>
</cp:coreProperties>
</file>