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5531C" w:rsidRDefault="00463B5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BEST Web-based Resources for Professionals</w:t>
      </w:r>
    </w:p>
    <w:p w:rsidR="00463B5B" w:rsidRDefault="00463B5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Working with Students with ASD!</w:t>
      </w:r>
    </w:p>
    <w:p w:rsidR="00463B5B" w:rsidRPr="0035531C" w:rsidRDefault="00463B5B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November 14,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63B5B" w:rsidRPr="00463B5B" w:rsidRDefault="00463B5B" w:rsidP="00463B5B">
      <w:pPr>
        <w:pStyle w:val="Title"/>
        <w:ind w:left="-90" w:right="-270"/>
        <w:rPr>
          <w:sz w:val="40"/>
          <w:szCs w:val="40"/>
        </w:rPr>
      </w:pPr>
      <w:r w:rsidRPr="00463B5B">
        <w:rPr>
          <w:sz w:val="40"/>
          <w:szCs w:val="40"/>
        </w:rPr>
        <w:lastRenderedPageBreak/>
        <w:t>The BEST Web-based Resources for Professionals</w:t>
      </w:r>
    </w:p>
    <w:p w:rsidR="00463B5B" w:rsidRPr="00463B5B" w:rsidRDefault="00463B5B" w:rsidP="00463B5B">
      <w:pPr>
        <w:pStyle w:val="Title"/>
        <w:ind w:left="-90" w:right="-270"/>
        <w:rPr>
          <w:sz w:val="40"/>
          <w:szCs w:val="40"/>
        </w:rPr>
      </w:pPr>
      <w:r w:rsidRPr="00463B5B">
        <w:rPr>
          <w:sz w:val="40"/>
          <w:szCs w:val="40"/>
        </w:rPr>
        <w:t>Working with Students with ASD!</w:t>
      </w:r>
    </w:p>
    <w:p w:rsidR="00463B5B" w:rsidRPr="00463B5B" w:rsidRDefault="00463B5B" w:rsidP="00463B5B">
      <w:pPr>
        <w:pStyle w:val="Title"/>
        <w:ind w:left="-90" w:right="-270"/>
        <w:rPr>
          <w:sz w:val="40"/>
          <w:szCs w:val="40"/>
        </w:rPr>
      </w:pPr>
      <w:r w:rsidRPr="00463B5B">
        <w:rPr>
          <w:sz w:val="40"/>
          <w:szCs w:val="40"/>
        </w:rPr>
        <w:t>November 14,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3B5B" w:rsidRPr="00463B5B" w:rsidRDefault="00463B5B" w:rsidP="00463B5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Evidence-based practices can also be supported by anecdotal report. </w:t>
      </w:r>
    </w:p>
    <w:p w:rsidR="00463B5B" w:rsidRDefault="00463B5B" w:rsidP="00463B5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ab/>
        <w:t>___________</w:t>
      </w: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True</w:t>
      </w:r>
      <w:r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ab/>
      </w:r>
      <w:r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ab/>
      </w:r>
      <w:r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ab/>
        <w:t>__________False</w:t>
      </w:r>
    </w:p>
    <w:p w:rsidR="00463B5B" w:rsidRPr="00463B5B" w:rsidRDefault="00463B5B" w:rsidP="00463B5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</w:p>
    <w:p w:rsidR="00463B5B" w:rsidRPr="00463B5B" w:rsidRDefault="00463B5B" w:rsidP="00463B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Which of the following is not an evidence-based practice as identified by the NPDC-ASD?</w:t>
      </w:r>
    </w:p>
    <w:p w:rsidR="00463B5B" w:rsidRPr="00463B5B" w:rsidRDefault="00463B5B" w:rsidP="00463B5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Visual Supports </w:t>
      </w:r>
    </w:p>
    <w:p w:rsidR="00463B5B" w:rsidRPr="00463B5B" w:rsidRDefault="00463B5B" w:rsidP="00463B5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 xml:space="preserve">Auditory Integration Training </w:t>
      </w:r>
    </w:p>
    <w:p w:rsidR="00463B5B" w:rsidRPr="00463B5B" w:rsidRDefault="00463B5B" w:rsidP="00463B5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Peer Mediated Instruction and Intervention </w:t>
      </w:r>
    </w:p>
    <w:p w:rsidR="00463B5B" w:rsidRPr="00463B5B" w:rsidRDefault="00463B5B" w:rsidP="00463B5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sz w:val="22"/>
          <w:szCs w:val="22"/>
          <w:u w:color="FF0000"/>
          <w:bdr w:val="nil"/>
        </w:rPr>
      </w:pP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>Discrete Trial Training</w:t>
      </w:r>
    </w:p>
    <w:p w:rsidR="00463B5B" w:rsidRPr="00463B5B" w:rsidRDefault="00463B5B" w:rsidP="00463B5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Trebuchet MS Bold" w:eastAsia="Trebuchet MS Bold" w:hAnsi="Trebuchet MS Bold" w:cs="Trebuchet MS Bold"/>
          <w:color w:val="FF0000"/>
          <w:sz w:val="22"/>
          <w:szCs w:val="22"/>
          <w:u w:color="FF0000"/>
          <w:bdr w:val="nil"/>
        </w:rPr>
      </w:pPr>
    </w:p>
    <w:p w:rsidR="00463B5B" w:rsidRPr="00463B5B" w:rsidRDefault="00463B5B" w:rsidP="00463B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What web-based resource is an extension of the NPDC-ASD with evidence-based practices presented in a module format?: </w:t>
      </w:r>
    </w:p>
    <w:p w:rsidR="00463B5B" w:rsidRPr="00463B5B" w:rsidRDefault="00463B5B" w:rsidP="00463B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Autism Speaks  </w:t>
      </w:r>
    </w:p>
    <w:p w:rsidR="00463B5B" w:rsidRPr="00463B5B" w:rsidRDefault="00463B5B" w:rsidP="00463B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Do2Learn </w:t>
      </w:r>
    </w:p>
    <w:p w:rsidR="00463B5B" w:rsidRPr="00463B5B" w:rsidRDefault="00463B5B" w:rsidP="00463B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Autism Navigator </w:t>
      </w:r>
    </w:p>
    <w:p w:rsidR="00463B5B" w:rsidRPr="00463B5B" w:rsidRDefault="00463B5B" w:rsidP="00463B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sz w:val="22"/>
          <w:szCs w:val="22"/>
          <w:u w:color="FF0000"/>
          <w:bdr w:val="nil"/>
        </w:rPr>
      </w:pP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 xml:space="preserve">AFIRM </w:t>
      </w:r>
      <w:r w:rsidRPr="00463B5B">
        <w:rPr>
          <w:rFonts w:ascii="Calibri" w:eastAsia="Calibri" w:hAnsi="Trebuchet MS Bold" w:cs="Calibri"/>
          <w:sz w:val="22"/>
          <w:szCs w:val="22"/>
          <w:u w:color="000000"/>
          <w:bdr w:val="nil"/>
        </w:rPr>
        <w:t>–</w:t>
      </w:r>
      <w:r w:rsidRPr="00463B5B">
        <w:rPr>
          <w:rFonts w:ascii="Calibri" w:eastAsia="Calibri" w:hAnsi="Trebuchet MS Bold" w:cs="Calibri"/>
          <w:sz w:val="22"/>
          <w:szCs w:val="22"/>
          <w:u w:color="000000"/>
          <w:bdr w:val="nil"/>
        </w:rPr>
        <w:t xml:space="preserve"> </w:t>
      </w: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>Autism Focused Intervention Resources and Modules</w:t>
      </w:r>
      <w:r w:rsidRPr="00463B5B">
        <w:rPr>
          <w:rFonts w:ascii="Trebuchet MS Bold" w:eastAsia="Calibri" w:hAnsi="Calibri" w:cs="Calibri"/>
          <w:sz w:val="22"/>
          <w:szCs w:val="22"/>
          <w:u w:color="FF0000"/>
          <w:bdr w:val="nil"/>
        </w:rPr>
        <w:t xml:space="preserve"> </w:t>
      </w:r>
    </w:p>
    <w:p w:rsidR="00463B5B" w:rsidRPr="00463B5B" w:rsidRDefault="00463B5B" w:rsidP="00463B5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Trebuchet MS Bold" w:eastAsia="Trebuchet MS Bold" w:hAnsi="Trebuchet MS Bold" w:cs="Trebuchet MS Bold"/>
          <w:color w:val="FF0000"/>
          <w:sz w:val="22"/>
          <w:szCs w:val="22"/>
          <w:u w:color="FF0000"/>
          <w:bdr w:val="nil"/>
        </w:rPr>
      </w:pPr>
    </w:p>
    <w:p w:rsidR="00463B5B" w:rsidRPr="00463B5B" w:rsidRDefault="00463B5B" w:rsidP="00463B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The NPDC-ASD identified focused interventions versus comprehensive treatment models as evidence-based practices</w:t>
      </w:r>
    </w:p>
    <w:p w:rsidR="00463B5B" w:rsidRPr="00463B5B" w:rsidRDefault="00463B5B" w:rsidP="00463B5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080"/>
        <w:rPr>
          <w:rFonts w:ascii="Trebuchet MS Bold" w:eastAsia="Trebuchet MS Bold" w:hAnsi="Trebuchet MS Bold" w:cs="Trebuchet MS Bold"/>
          <w:sz w:val="22"/>
          <w:szCs w:val="22"/>
          <w:u w:color="FF0000"/>
          <w:bdr w:val="nil"/>
        </w:rPr>
      </w:pPr>
      <w:r>
        <w:rPr>
          <w:rFonts w:ascii="Trebuchet MS Bold" w:eastAsia="Calibri" w:hAnsi="Calibri" w:cs="Calibri"/>
          <w:sz w:val="22"/>
          <w:szCs w:val="22"/>
          <w:u w:color="FF0000"/>
          <w:bdr w:val="nil"/>
        </w:rPr>
        <w:tab/>
        <w:t>___________</w:t>
      </w:r>
      <w:r w:rsidRPr="00463B5B">
        <w:rPr>
          <w:rFonts w:ascii="Trebuchet MS Bold" w:eastAsia="Calibri" w:hAnsi="Calibri" w:cs="Calibri"/>
          <w:sz w:val="22"/>
          <w:szCs w:val="22"/>
          <w:u w:color="FF0000"/>
          <w:bdr w:val="nil"/>
        </w:rPr>
        <w:t>True</w:t>
      </w:r>
      <w:r>
        <w:rPr>
          <w:rFonts w:ascii="Trebuchet MS Bold" w:eastAsia="Calibri" w:hAnsi="Calibri" w:cs="Calibri"/>
          <w:sz w:val="22"/>
          <w:szCs w:val="22"/>
          <w:u w:color="FF0000"/>
          <w:bdr w:val="nil"/>
        </w:rPr>
        <w:tab/>
      </w:r>
      <w:r>
        <w:rPr>
          <w:rFonts w:ascii="Trebuchet MS Bold" w:eastAsia="Calibri" w:hAnsi="Calibri" w:cs="Calibri"/>
          <w:sz w:val="22"/>
          <w:szCs w:val="22"/>
          <w:u w:color="FF0000"/>
          <w:bdr w:val="nil"/>
        </w:rPr>
        <w:tab/>
      </w:r>
      <w:r>
        <w:rPr>
          <w:rFonts w:ascii="Trebuchet MS Bold" w:eastAsia="Calibri" w:hAnsi="Calibri" w:cs="Calibri"/>
          <w:sz w:val="22"/>
          <w:szCs w:val="22"/>
          <w:u w:color="FF0000"/>
          <w:bdr w:val="nil"/>
        </w:rPr>
        <w:tab/>
        <w:t>__________False</w:t>
      </w:r>
    </w:p>
    <w:p w:rsidR="00463B5B" w:rsidRPr="00463B5B" w:rsidRDefault="00463B5B" w:rsidP="00463B5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"/>
        <w:rPr>
          <w:rFonts w:ascii="Trebuchet MS Bold" w:eastAsia="Trebuchet MS Bold" w:hAnsi="Trebuchet MS Bold" w:cs="Trebuchet MS Bold"/>
          <w:color w:val="FF0000"/>
          <w:sz w:val="22"/>
          <w:szCs w:val="22"/>
          <w:u w:color="FF0000"/>
          <w:bdr w:val="nil"/>
        </w:rPr>
      </w:pPr>
    </w:p>
    <w:p w:rsidR="00463B5B" w:rsidRPr="00463B5B" w:rsidRDefault="00463B5B" w:rsidP="00463B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The Autism Internet Modules (AIMs) website has modules categorized according to:</w:t>
      </w:r>
    </w:p>
    <w:p w:rsidR="00463B5B" w:rsidRPr="00463B5B" w:rsidRDefault="00463B5B" w:rsidP="00463B5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Recognizing Autism</w:t>
      </w:r>
    </w:p>
    <w:p w:rsidR="00463B5B" w:rsidRPr="00463B5B" w:rsidRDefault="00463B5B" w:rsidP="00463B5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FF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Autism at Home</w:t>
      </w:r>
      <w:r w:rsidRPr="00463B5B">
        <w:rPr>
          <w:rFonts w:ascii="Trebuchet MS Bold" w:eastAsia="Calibri" w:hAnsi="Calibri" w:cs="Calibri"/>
          <w:color w:val="000000"/>
          <w:sz w:val="22"/>
          <w:szCs w:val="22"/>
          <w:u w:color="FF0000"/>
          <w:bdr w:val="nil"/>
        </w:rPr>
        <w:t xml:space="preserve"> </w:t>
      </w:r>
    </w:p>
    <w:p w:rsidR="00463B5B" w:rsidRPr="00463B5B" w:rsidRDefault="00463B5B" w:rsidP="00463B5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Autism in the Classroom </w:t>
      </w:r>
    </w:p>
    <w:p w:rsidR="00463B5B" w:rsidRPr="00463B5B" w:rsidRDefault="00463B5B" w:rsidP="00463B5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 xml:space="preserve">All of the above </w:t>
      </w:r>
      <w:bookmarkStart w:id="0" w:name="_GoBack"/>
      <w:bookmarkEnd w:id="0"/>
    </w:p>
    <w:p w:rsidR="00463B5B" w:rsidRPr="00463B5B" w:rsidRDefault="00463B5B" w:rsidP="00463B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What web site has a free curriculum to be used for professional development?</w:t>
      </w:r>
    </w:p>
    <w:p w:rsidR="00463B5B" w:rsidRPr="00463B5B" w:rsidRDefault="00463B5B" w:rsidP="00463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NPDC-ASD </w:t>
      </w:r>
    </w:p>
    <w:p w:rsidR="00463B5B" w:rsidRPr="00463B5B" w:rsidRDefault="00463B5B" w:rsidP="00463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 xml:space="preserve">OAR </w:t>
      </w:r>
      <w:r w:rsidRPr="00463B5B">
        <w:rPr>
          <w:rFonts w:ascii="Calibri" w:eastAsia="Calibri" w:hAnsi="Trebuchet MS Bold" w:cs="Calibri"/>
          <w:sz w:val="22"/>
          <w:szCs w:val="22"/>
          <w:u w:color="000000"/>
          <w:bdr w:val="nil"/>
        </w:rPr>
        <w:t>–</w:t>
      </w:r>
      <w:r w:rsidRPr="00463B5B">
        <w:rPr>
          <w:rFonts w:ascii="Calibri" w:eastAsia="Calibri" w:hAnsi="Trebuchet MS Bold" w:cs="Calibri"/>
          <w:sz w:val="22"/>
          <w:szCs w:val="22"/>
          <w:u w:color="000000"/>
          <w:bdr w:val="nil"/>
        </w:rPr>
        <w:t xml:space="preserve"> </w:t>
      </w:r>
      <w:r w:rsidRPr="00463B5B">
        <w:rPr>
          <w:rFonts w:ascii="Trebuchet MS Bold" w:eastAsia="Calibri" w:hAnsi="Calibri" w:cs="Calibri"/>
          <w:sz w:val="22"/>
          <w:szCs w:val="22"/>
          <w:u w:color="000000"/>
          <w:bdr w:val="nil"/>
        </w:rPr>
        <w:t xml:space="preserve">Organization for Autism Research </w:t>
      </w:r>
    </w:p>
    <w:p w:rsidR="00463B5B" w:rsidRPr="00463B5B" w:rsidRDefault="00463B5B" w:rsidP="00463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 xml:space="preserve">AFIRM </w:t>
      </w:r>
    </w:p>
    <w:p w:rsidR="00463B5B" w:rsidRPr="00463B5B" w:rsidRDefault="00463B5B" w:rsidP="00463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 Bold" w:eastAsia="Trebuchet MS Bold" w:hAnsi="Trebuchet MS Bold" w:cs="Trebuchet MS Bold"/>
          <w:color w:val="000000"/>
          <w:sz w:val="22"/>
          <w:szCs w:val="22"/>
          <w:u w:color="000000"/>
          <w:bdr w:val="nil"/>
        </w:rPr>
      </w:pPr>
      <w:r w:rsidRPr="00463B5B">
        <w:rPr>
          <w:rFonts w:ascii="Trebuchet MS Bold" w:eastAsia="Calibri" w:hAnsi="Calibri" w:cs="Calibri"/>
          <w:color w:val="000000"/>
          <w:sz w:val="22"/>
          <w:szCs w:val="22"/>
          <w:u w:color="000000"/>
          <w:bdr w:val="nil"/>
        </w:rPr>
        <w:t>AIMs</w:t>
      </w:r>
      <w:r w:rsidRPr="00463B5B">
        <w:rPr>
          <w:rFonts w:ascii="Trebuchet MS Bold" w:eastAsia="Calibri" w:hAnsi="Calibri" w:cs="Calibri"/>
          <w:color w:val="000000"/>
          <w:sz w:val="22"/>
          <w:szCs w:val="22"/>
          <w:u w:color="FF0000"/>
          <w:bdr w:val="nil"/>
        </w:rPr>
        <w:t xml:space="preserve"> </w:t>
      </w:r>
    </w:p>
    <w:p w:rsidR="000613AF" w:rsidRPr="00463B5B" w:rsidRDefault="000613AF" w:rsidP="00463B5B">
      <w:pPr>
        <w:pStyle w:val="Body"/>
        <w:rPr>
          <w:rFonts w:asciiTheme="majorHAnsi" w:hAnsiTheme="majorHAnsi"/>
          <w:sz w:val="28"/>
          <w:szCs w:val="28"/>
        </w:rPr>
      </w:pPr>
    </w:p>
    <w:p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84" w:rsidRDefault="007B4B84">
      <w:r>
        <w:separator/>
      </w:r>
    </w:p>
  </w:endnote>
  <w:endnote w:type="continuationSeparator" w:id="0">
    <w:p w:rsidR="007B4B84" w:rsidRDefault="007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84" w:rsidRDefault="007B4B84">
      <w:r>
        <w:separator/>
      </w:r>
    </w:p>
  </w:footnote>
  <w:footnote w:type="continuationSeparator" w:id="0">
    <w:p w:rsidR="007B4B84" w:rsidRDefault="007B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E34E4E"/>
    <w:multiLevelType w:val="multilevel"/>
    <w:tmpl w:val="A9DAB40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4A23DA"/>
    <w:multiLevelType w:val="multilevel"/>
    <w:tmpl w:val="235E307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B0D6AC2"/>
    <w:multiLevelType w:val="multilevel"/>
    <w:tmpl w:val="DD94FB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710D3E39"/>
    <w:multiLevelType w:val="multilevel"/>
    <w:tmpl w:val="C42439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9"/>
  </w:num>
  <w:num w:numId="3">
    <w:abstractNumId w:val="28"/>
  </w:num>
  <w:num w:numId="4">
    <w:abstractNumId w:val="11"/>
  </w:num>
  <w:num w:numId="5">
    <w:abstractNumId w:val="1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35"/>
  </w:num>
  <w:num w:numId="12">
    <w:abstractNumId w:val="15"/>
  </w:num>
  <w:num w:numId="13">
    <w:abstractNumId w:val="30"/>
  </w:num>
  <w:num w:numId="14">
    <w:abstractNumId w:val="19"/>
  </w:num>
  <w:num w:numId="15">
    <w:abstractNumId w:val="9"/>
    <w:lvlOverride w:ilvl="0">
      <w:startOverride w:val="7"/>
    </w:lvlOverride>
  </w:num>
  <w:num w:numId="16">
    <w:abstractNumId w:val="24"/>
  </w:num>
  <w:num w:numId="17">
    <w:abstractNumId w:val="9"/>
    <w:lvlOverride w:ilvl="0">
      <w:startOverride w:val="5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36"/>
  </w:num>
  <w:num w:numId="22">
    <w:abstractNumId w:val="27"/>
  </w:num>
  <w:num w:numId="23">
    <w:abstractNumId w:val="26"/>
  </w:num>
  <w:num w:numId="24">
    <w:abstractNumId w:val="12"/>
  </w:num>
  <w:num w:numId="25">
    <w:abstractNumId w:val="7"/>
  </w:num>
  <w:num w:numId="26">
    <w:abstractNumId w:val="3"/>
  </w:num>
  <w:num w:numId="27">
    <w:abstractNumId w:val="25"/>
  </w:num>
  <w:num w:numId="28">
    <w:abstractNumId w:val="21"/>
  </w:num>
  <w:num w:numId="29">
    <w:abstractNumId w:val="20"/>
  </w:num>
  <w:num w:numId="30">
    <w:abstractNumId w:val="2"/>
  </w:num>
  <w:num w:numId="31">
    <w:abstractNumId w:val="32"/>
  </w:num>
  <w:num w:numId="32">
    <w:abstractNumId w:val="29"/>
  </w:num>
  <w:num w:numId="33">
    <w:abstractNumId w:val="0"/>
  </w:num>
  <w:num w:numId="34">
    <w:abstractNumId w:val="4"/>
  </w:num>
  <w:num w:numId="35">
    <w:abstractNumId w:val="14"/>
  </w:num>
  <w:num w:numId="36">
    <w:abstractNumId w:val="33"/>
  </w:num>
  <w:num w:numId="37">
    <w:abstractNumId w:val="17"/>
  </w:num>
  <w:num w:numId="38">
    <w:abstractNumId w:val="31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34"/>
      </w:numPr>
    </w:pPr>
  </w:style>
  <w:style w:type="numbering" w:customStyle="1" w:styleId="List11">
    <w:name w:val="List 11"/>
    <w:basedOn w:val="NoList"/>
    <w:rsid w:val="00463B5B"/>
    <w:pPr>
      <w:numPr>
        <w:numId w:val="40"/>
      </w:numPr>
    </w:pPr>
  </w:style>
  <w:style w:type="numbering" w:customStyle="1" w:styleId="List21">
    <w:name w:val="List 21"/>
    <w:basedOn w:val="NoList"/>
    <w:rsid w:val="00463B5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2017-08-30T17:40:00Z</dcterms:created>
  <dcterms:modified xsi:type="dcterms:W3CDTF">2017-08-30T17:40:00Z</dcterms:modified>
</cp:coreProperties>
</file>