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In order to receive CEUS you must </w:t>
      </w:r>
    </w:p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5E7B78" w:rsidRPr="004E77A5" w:rsidRDefault="008C5E5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Touch as a Way of Seeing: The </w:t>
      </w:r>
      <w:proofErr w:type="spellStart"/>
      <w:r>
        <w:rPr>
          <w:b/>
          <w:sz w:val="40"/>
          <w:szCs w:val="40"/>
        </w:rPr>
        <w:t>iPad</w:t>
      </w:r>
      <w:proofErr w:type="spellEnd"/>
      <w:r>
        <w:rPr>
          <w:b/>
          <w:sz w:val="40"/>
          <w:szCs w:val="40"/>
        </w:rPr>
        <w:t xml:space="preserve"> and Apple Watch as a Low Vision Support: February 1</w:t>
      </w:r>
      <w:r w:rsidR="00DB7658">
        <w:rPr>
          <w:b/>
          <w:sz w:val="40"/>
          <w:szCs w:val="40"/>
        </w:rPr>
        <w:t>8, 2016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C5E51" w:rsidRPr="004E77A5" w:rsidRDefault="008C5E51" w:rsidP="008C5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Touch as a Way of Seeing: The </w:t>
      </w:r>
      <w:proofErr w:type="spellStart"/>
      <w:r>
        <w:rPr>
          <w:b/>
          <w:sz w:val="40"/>
          <w:szCs w:val="40"/>
        </w:rPr>
        <w:t>iPad</w:t>
      </w:r>
      <w:proofErr w:type="spellEnd"/>
      <w:r>
        <w:rPr>
          <w:b/>
          <w:sz w:val="40"/>
          <w:szCs w:val="40"/>
        </w:rPr>
        <w:t xml:space="preserve"> and Apple Watch as a Low Vision Support: February 18, 2016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E7B8D" w:rsidRPr="003E7B8D" w:rsidRDefault="003E7B8D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7658" w:rsidRPr="008C5E51" w:rsidRDefault="00DB7658" w:rsidP="008C5E51">
      <w:pPr>
        <w:autoSpaceDE w:val="0"/>
        <w:autoSpaceDN w:val="0"/>
        <w:adjustRightInd w:val="0"/>
        <w:rPr>
          <w:color w:val="1A1A1A"/>
          <w:sz w:val="32"/>
          <w:szCs w:val="32"/>
        </w:rPr>
      </w:pPr>
      <w:r w:rsidRPr="003E7B8D">
        <w:rPr>
          <w:color w:val="1A1A1A"/>
          <w:sz w:val="28"/>
          <w:szCs w:val="28"/>
        </w:rPr>
        <w:t>1.</w:t>
      </w:r>
      <w:r w:rsidR="008C5E51">
        <w:rPr>
          <w:color w:val="1A1A1A"/>
          <w:sz w:val="28"/>
          <w:szCs w:val="28"/>
        </w:rPr>
        <w:t xml:space="preserve"> </w:t>
      </w:r>
      <w:r w:rsidRPr="003E7B8D">
        <w:rPr>
          <w:color w:val="1A1A1A"/>
          <w:sz w:val="28"/>
          <w:szCs w:val="28"/>
        </w:rPr>
        <w:t xml:space="preserve"> </w:t>
      </w:r>
      <w:r w:rsidR="008C5E51" w:rsidRPr="008C5E51">
        <w:rPr>
          <w:color w:val="000000"/>
          <w:sz w:val="32"/>
          <w:szCs w:val="32"/>
        </w:rPr>
        <w:t>The advanced Alex voice requires an additional purchase before it can be</w:t>
      </w:r>
      <w:r w:rsidR="008C5E51">
        <w:rPr>
          <w:color w:val="000000"/>
          <w:sz w:val="32"/>
          <w:szCs w:val="32"/>
        </w:rPr>
        <w:t xml:space="preserve"> </w:t>
      </w:r>
      <w:r w:rsidR="008C5E51" w:rsidRPr="008C5E51">
        <w:rPr>
          <w:color w:val="000000"/>
          <w:sz w:val="32"/>
          <w:szCs w:val="32"/>
        </w:rPr>
        <w:t xml:space="preserve">used on </w:t>
      </w:r>
      <w:proofErr w:type="spellStart"/>
      <w:r w:rsidR="008C5E51" w:rsidRPr="008C5E51">
        <w:rPr>
          <w:color w:val="000000"/>
          <w:sz w:val="32"/>
          <w:szCs w:val="32"/>
        </w:rPr>
        <w:t>iOS</w:t>
      </w:r>
      <w:proofErr w:type="spellEnd"/>
      <w:r w:rsidR="008C5E51" w:rsidRPr="008C5E51">
        <w:rPr>
          <w:color w:val="000000"/>
          <w:sz w:val="32"/>
          <w:szCs w:val="32"/>
        </w:rPr>
        <w:t xml:space="preserve"> devices like the </w:t>
      </w:r>
      <w:proofErr w:type="spellStart"/>
      <w:r w:rsidR="008C5E51" w:rsidRPr="008C5E51">
        <w:rPr>
          <w:color w:val="000000"/>
          <w:sz w:val="32"/>
          <w:szCs w:val="32"/>
        </w:rPr>
        <w:t>iPad</w:t>
      </w:r>
      <w:proofErr w:type="spellEnd"/>
      <w:r w:rsidR="003E7B8D" w:rsidRPr="008C5E51">
        <w:rPr>
          <w:color w:val="1A1A1A"/>
          <w:sz w:val="32"/>
          <w:szCs w:val="32"/>
        </w:rPr>
        <w:t xml:space="preserve">. 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8C5E51">
        <w:rPr>
          <w:color w:val="1A1A1A"/>
          <w:sz w:val="28"/>
          <w:szCs w:val="28"/>
        </w:rPr>
        <w:tab/>
      </w:r>
      <w:r w:rsidR="008C5E51">
        <w:rPr>
          <w:color w:val="1A1A1A"/>
          <w:sz w:val="28"/>
          <w:szCs w:val="28"/>
        </w:rPr>
        <w:tab/>
      </w:r>
      <w:r w:rsidR="008C5E51">
        <w:rPr>
          <w:color w:val="1A1A1A"/>
          <w:sz w:val="28"/>
          <w:szCs w:val="28"/>
        </w:rPr>
        <w:tab/>
      </w:r>
      <w:r w:rsidR="008C5E51">
        <w:rPr>
          <w:color w:val="1A1A1A"/>
          <w:sz w:val="28"/>
          <w:szCs w:val="28"/>
        </w:rPr>
        <w:tab/>
      </w:r>
      <w:r w:rsidR="008C5E51">
        <w:rPr>
          <w:color w:val="1A1A1A"/>
          <w:sz w:val="28"/>
          <w:szCs w:val="28"/>
        </w:rPr>
        <w:tab/>
        <w:t xml:space="preserve">       ________True</w:t>
      </w:r>
      <w:r w:rsidR="008C5E51">
        <w:rPr>
          <w:color w:val="1A1A1A"/>
          <w:sz w:val="28"/>
          <w:szCs w:val="28"/>
        </w:rPr>
        <w:tab/>
        <w:t xml:space="preserve">      </w:t>
      </w:r>
      <w:r>
        <w:rPr>
          <w:color w:val="1A1A1A"/>
          <w:sz w:val="28"/>
          <w:szCs w:val="28"/>
        </w:rPr>
        <w:t>________False</w:t>
      </w:r>
    </w:p>
    <w:p w:rsidR="00DB7658" w:rsidRDefault="00DB7658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5727" w:rsidRPr="003E7B8D" w:rsidRDefault="004D5727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7B8D" w:rsidRDefault="00DB7658" w:rsidP="008C5E51">
      <w:pPr>
        <w:autoSpaceDE w:val="0"/>
        <w:autoSpaceDN w:val="0"/>
        <w:adjustRightInd w:val="0"/>
        <w:rPr>
          <w:sz w:val="32"/>
          <w:szCs w:val="32"/>
        </w:rPr>
      </w:pPr>
      <w:r w:rsidRPr="003E7B8D">
        <w:rPr>
          <w:color w:val="1A1A1A"/>
          <w:sz w:val="28"/>
          <w:szCs w:val="28"/>
        </w:rPr>
        <w:t>2.</w:t>
      </w:r>
      <w:r w:rsidR="008C5E51">
        <w:rPr>
          <w:color w:val="1A1A1A"/>
          <w:sz w:val="28"/>
          <w:szCs w:val="28"/>
        </w:rPr>
        <w:t xml:space="preserve"> </w:t>
      </w:r>
      <w:r w:rsidRPr="003E7B8D">
        <w:rPr>
          <w:color w:val="1A1A1A"/>
          <w:sz w:val="28"/>
          <w:szCs w:val="28"/>
        </w:rPr>
        <w:t xml:space="preserve"> </w:t>
      </w:r>
      <w:r w:rsidR="008C5E51" w:rsidRPr="008C5E51">
        <w:rPr>
          <w:sz w:val="32"/>
          <w:szCs w:val="32"/>
        </w:rPr>
        <w:t>If Alex is not available when you go into the text to speech of your device, what could be the reason?</w:t>
      </w:r>
    </w:p>
    <w:p w:rsidR="008C5E51" w:rsidRPr="008C5E51" w:rsidRDefault="008C5E51" w:rsidP="008C5E5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C5E51">
        <w:rPr>
          <w:bCs/>
          <w:sz w:val="28"/>
          <w:szCs w:val="28"/>
        </w:rPr>
        <w:t>The device you are on does not support this feature</w:t>
      </w:r>
    </w:p>
    <w:p w:rsidR="008C5E51" w:rsidRPr="008C5E51" w:rsidRDefault="008C5E51" w:rsidP="008C5E5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C5E51">
        <w:rPr>
          <w:bCs/>
          <w:sz w:val="28"/>
          <w:szCs w:val="28"/>
        </w:rPr>
        <w:t>You do not have an active internet connection</w:t>
      </w:r>
    </w:p>
    <w:p w:rsidR="008C5E51" w:rsidRPr="008C5E51" w:rsidRDefault="008C5E51" w:rsidP="008C5E5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C5E51">
        <w:rPr>
          <w:bCs/>
          <w:sz w:val="28"/>
          <w:szCs w:val="28"/>
        </w:rPr>
        <w:t>There is not enough free storage on your device</w:t>
      </w:r>
    </w:p>
    <w:p w:rsidR="008C5E51" w:rsidRDefault="008C5E51" w:rsidP="008C5E5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C5E51">
        <w:rPr>
          <w:bCs/>
          <w:sz w:val="28"/>
          <w:szCs w:val="28"/>
        </w:rPr>
        <w:t>All of the above</w:t>
      </w:r>
    </w:p>
    <w:p w:rsidR="008C5E51" w:rsidRDefault="008C5E51" w:rsidP="008C5E51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4D5727" w:rsidRPr="008C5E51" w:rsidRDefault="004D5727" w:rsidP="008C5E51">
      <w:pPr>
        <w:pStyle w:val="ListParagraph"/>
        <w:autoSpaceDE w:val="0"/>
        <w:autoSpaceDN w:val="0"/>
        <w:adjustRightInd w:val="0"/>
        <w:ind w:left="1440"/>
        <w:rPr>
          <w:bCs/>
          <w:sz w:val="28"/>
          <w:szCs w:val="28"/>
        </w:rPr>
      </w:pPr>
    </w:p>
    <w:p w:rsidR="003E7B8D" w:rsidRDefault="00DB7658" w:rsidP="008C5E51">
      <w:pPr>
        <w:autoSpaceDE w:val="0"/>
        <w:autoSpaceDN w:val="0"/>
        <w:adjustRightInd w:val="0"/>
        <w:rPr>
          <w:sz w:val="32"/>
          <w:szCs w:val="32"/>
        </w:rPr>
      </w:pPr>
      <w:r w:rsidRPr="003E7B8D">
        <w:rPr>
          <w:color w:val="1A1A1A"/>
          <w:sz w:val="28"/>
          <w:szCs w:val="28"/>
        </w:rPr>
        <w:t xml:space="preserve">3. </w:t>
      </w:r>
      <w:r w:rsidR="008C5E51" w:rsidRPr="008C5E51">
        <w:rPr>
          <w:sz w:val="32"/>
          <w:szCs w:val="32"/>
        </w:rPr>
        <w:t>What is the name of the accessibility feature that allows you to turn other accessibility fea</w:t>
      </w:r>
      <w:r w:rsidR="008C5E51" w:rsidRPr="008C5E51">
        <w:rPr>
          <w:sz w:val="32"/>
          <w:szCs w:val="32"/>
        </w:rPr>
        <w:softHyphen/>
        <w:t>tures off an</w:t>
      </w:r>
      <w:r w:rsidR="008C5E51">
        <w:rPr>
          <w:sz w:val="32"/>
          <w:szCs w:val="32"/>
        </w:rPr>
        <w:t>d</w:t>
      </w:r>
      <w:r w:rsidR="008C5E51" w:rsidRPr="008C5E51">
        <w:rPr>
          <w:sz w:val="32"/>
          <w:szCs w:val="32"/>
        </w:rPr>
        <w:t xml:space="preserve"> on as needed, without the need to go into Settings?</w:t>
      </w:r>
    </w:p>
    <w:p w:rsidR="008C5E51" w:rsidRDefault="008C5E51" w:rsidP="008C5E5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C5E51" w:rsidRDefault="008C5E51" w:rsidP="008C5E5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D5727" w:rsidRPr="008C5E51" w:rsidRDefault="004D5727" w:rsidP="008C5E5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C5E51" w:rsidRDefault="00DB7658" w:rsidP="008C5E51">
      <w:pPr>
        <w:autoSpaceDE w:val="0"/>
        <w:autoSpaceDN w:val="0"/>
        <w:adjustRightInd w:val="0"/>
        <w:rPr>
          <w:sz w:val="32"/>
          <w:szCs w:val="32"/>
        </w:rPr>
      </w:pPr>
      <w:r w:rsidRPr="003E7B8D">
        <w:rPr>
          <w:color w:val="000000"/>
          <w:sz w:val="28"/>
          <w:szCs w:val="28"/>
        </w:rPr>
        <w:t>4.</w:t>
      </w:r>
      <w:r w:rsidR="008C5E51" w:rsidRPr="008C5E51">
        <w:rPr>
          <w:sz w:val="22"/>
          <w:szCs w:val="22"/>
        </w:rPr>
        <w:t xml:space="preserve"> </w:t>
      </w:r>
      <w:r w:rsidR="008C5E51" w:rsidRPr="008C5E51">
        <w:rPr>
          <w:sz w:val="32"/>
          <w:szCs w:val="32"/>
        </w:rPr>
        <w:t xml:space="preserve">In addition to a special gesture (swiping down with two </w:t>
      </w:r>
      <w:proofErr w:type="spellStart"/>
      <w:r w:rsidR="008C5E51" w:rsidRPr="008C5E51">
        <w:rPr>
          <w:sz w:val="32"/>
          <w:szCs w:val="32"/>
        </w:rPr>
        <w:t>ﬁngers</w:t>
      </w:r>
      <w:proofErr w:type="spellEnd"/>
      <w:r w:rsidR="008C5E51" w:rsidRPr="008C5E51">
        <w:rPr>
          <w:sz w:val="32"/>
          <w:szCs w:val="32"/>
        </w:rPr>
        <w:t xml:space="preserve"> from the top of the screen),</w:t>
      </w:r>
      <w:r w:rsidR="008C5E51">
        <w:rPr>
          <w:sz w:val="32"/>
          <w:szCs w:val="32"/>
        </w:rPr>
        <w:t xml:space="preserve"> </w:t>
      </w:r>
      <w:r w:rsidR="008C5E51" w:rsidRPr="008C5E51">
        <w:rPr>
          <w:sz w:val="32"/>
          <w:szCs w:val="32"/>
        </w:rPr>
        <w:t>what is another way you can activate Speak Screen to hear the entire contents of the screen</w:t>
      </w:r>
      <w:r w:rsidR="008C5E51">
        <w:rPr>
          <w:sz w:val="32"/>
          <w:szCs w:val="32"/>
        </w:rPr>
        <w:t xml:space="preserve"> </w:t>
      </w:r>
      <w:r w:rsidR="008C5E51" w:rsidRPr="008C5E51">
        <w:rPr>
          <w:sz w:val="32"/>
          <w:szCs w:val="32"/>
        </w:rPr>
        <w:t xml:space="preserve">read aloud? </w:t>
      </w:r>
    </w:p>
    <w:p w:rsidR="008C5E51" w:rsidRDefault="008C5E51" w:rsidP="008C5E5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8C5E51" w:rsidRDefault="008C5E51" w:rsidP="008C5E51">
      <w:pPr>
        <w:autoSpaceDE w:val="0"/>
        <w:autoSpaceDN w:val="0"/>
        <w:adjustRightInd w:val="0"/>
        <w:rPr>
          <w:sz w:val="32"/>
          <w:szCs w:val="32"/>
        </w:rPr>
      </w:pPr>
    </w:p>
    <w:p w:rsidR="004D5727" w:rsidRDefault="004D5727" w:rsidP="008C5E51">
      <w:pPr>
        <w:autoSpaceDE w:val="0"/>
        <w:autoSpaceDN w:val="0"/>
        <w:adjustRightInd w:val="0"/>
        <w:rPr>
          <w:sz w:val="32"/>
          <w:szCs w:val="32"/>
        </w:rPr>
      </w:pPr>
    </w:p>
    <w:p w:rsidR="004D5727" w:rsidRDefault="004D5727" w:rsidP="008C5E51">
      <w:pPr>
        <w:autoSpaceDE w:val="0"/>
        <w:autoSpaceDN w:val="0"/>
        <w:adjustRightInd w:val="0"/>
        <w:rPr>
          <w:sz w:val="32"/>
          <w:szCs w:val="32"/>
        </w:rPr>
      </w:pPr>
    </w:p>
    <w:p w:rsidR="004D5727" w:rsidRDefault="004D5727" w:rsidP="008C5E51">
      <w:pPr>
        <w:autoSpaceDE w:val="0"/>
        <w:autoSpaceDN w:val="0"/>
        <w:adjustRightInd w:val="0"/>
        <w:rPr>
          <w:sz w:val="32"/>
          <w:szCs w:val="32"/>
        </w:rPr>
      </w:pPr>
    </w:p>
    <w:p w:rsidR="004D5727" w:rsidRDefault="004D5727" w:rsidP="00DB765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7B8D" w:rsidRPr="004D5727" w:rsidRDefault="00DB7658" w:rsidP="00DB765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E7B8D">
        <w:rPr>
          <w:color w:val="000000"/>
          <w:sz w:val="28"/>
          <w:szCs w:val="28"/>
        </w:rPr>
        <w:lastRenderedPageBreak/>
        <w:t xml:space="preserve">5. </w:t>
      </w:r>
      <w:r w:rsidR="004D5727" w:rsidRPr="004D5727">
        <w:rPr>
          <w:color w:val="000000"/>
          <w:sz w:val="32"/>
          <w:szCs w:val="32"/>
        </w:rPr>
        <w:t>What is the one place where you are NOT able to use Speak Screen?</w:t>
      </w:r>
    </w:p>
    <w:p w:rsidR="004D5727" w:rsidRDefault="004D5727" w:rsidP="004D572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Settings panes</w:t>
      </w:r>
    </w:p>
    <w:p w:rsidR="004D5727" w:rsidRDefault="004D5727" w:rsidP="004D572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Websites accessed with the Safari web browser</w:t>
      </w:r>
    </w:p>
    <w:p w:rsidR="004D5727" w:rsidRDefault="004D5727" w:rsidP="004D572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Home screen</w:t>
      </w:r>
    </w:p>
    <w:p w:rsidR="003E7B8D" w:rsidRPr="003E7B8D" w:rsidRDefault="003E7B8D" w:rsidP="00DB765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A6295" w:rsidRDefault="00DB7658" w:rsidP="004D57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E7B8D">
        <w:rPr>
          <w:color w:val="000000"/>
          <w:sz w:val="28"/>
          <w:szCs w:val="28"/>
        </w:rPr>
        <w:t xml:space="preserve">6. </w:t>
      </w:r>
      <w:r w:rsidR="004D5727" w:rsidRPr="004D5727">
        <w:rPr>
          <w:color w:val="000000"/>
          <w:sz w:val="32"/>
          <w:szCs w:val="32"/>
        </w:rPr>
        <w:t>Dynamic text (larger text) is supported on all apps</w:t>
      </w:r>
      <w:r w:rsidR="003E7B8D">
        <w:rPr>
          <w:color w:val="000000"/>
          <w:sz w:val="28"/>
          <w:szCs w:val="28"/>
        </w:rPr>
        <w:t>.</w:t>
      </w:r>
    </w:p>
    <w:p w:rsidR="004D5727" w:rsidRDefault="004D5727" w:rsidP="004D572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7B8D" w:rsidRPr="003E7B8D" w:rsidRDefault="003E7B8D" w:rsidP="00DB76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5727">
        <w:rPr>
          <w:color w:val="000000"/>
          <w:sz w:val="28"/>
          <w:szCs w:val="28"/>
        </w:rPr>
        <w:tab/>
      </w:r>
      <w:r w:rsidR="004D5727">
        <w:rPr>
          <w:color w:val="000000"/>
          <w:sz w:val="28"/>
          <w:szCs w:val="28"/>
        </w:rPr>
        <w:tab/>
      </w:r>
      <w:r w:rsidR="004D5727">
        <w:rPr>
          <w:color w:val="000000"/>
          <w:sz w:val="28"/>
          <w:szCs w:val="28"/>
        </w:rPr>
        <w:tab/>
      </w:r>
      <w:r w:rsidR="004D5727">
        <w:rPr>
          <w:color w:val="000000"/>
          <w:sz w:val="28"/>
          <w:szCs w:val="28"/>
        </w:rPr>
        <w:tab/>
      </w:r>
      <w:r w:rsidR="004D572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  <w:r w:rsidR="003E7B8D">
        <w:rPr>
          <w:rFonts w:ascii="TimesNewRomanBdMS" w:hAnsi="TimesNewRomanBdMS" w:cs="TimesNewRomanBdMS"/>
          <w:sz w:val="28"/>
          <w:szCs w:val="28"/>
        </w:rPr>
        <w:tab/>
      </w:r>
    </w:p>
    <w:p w:rsidR="008A6295" w:rsidRDefault="008A6295" w:rsidP="004E77A5">
      <w:pPr>
        <w:tabs>
          <w:tab w:val="left" w:pos="9270"/>
        </w:tabs>
        <w:rPr>
          <w:sz w:val="28"/>
          <w:szCs w:val="28"/>
        </w:rPr>
      </w:pPr>
    </w:p>
    <w:p w:rsidR="00124040" w:rsidRPr="004D5727" w:rsidRDefault="00124040" w:rsidP="004E77A5">
      <w:pPr>
        <w:tabs>
          <w:tab w:val="left" w:pos="9270"/>
        </w:tabs>
        <w:rPr>
          <w:sz w:val="32"/>
          <w:szCs w:val="32"/>
        </w:rPr>
      </w:pPr>
      <w:r w:rsidRPr="004D5727">
        <w:rPr>
          <w:sz w:val="32"/>
          <w:szCs w:val="32"/>
        </w:rPr>
        <w:t>Please note any suggestions for improving this activity in terms of learning value.</w:t>
      </w: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tab/>
      </w:r>
    </w:p>
    <w:p w:rsidR="006731FE" w:rsidRDefault="006731FE">
      <w:pPr>
        <w:tabs>
          <w:tab w:val="left" w:pos="9270"/>
        </w:tabs>
        <w:rPr>
          <w:rFonts w:ascii="Comic Sans MS" w:hAnsi="Comic Sans MS"/>
          <w:u w:val="single"/>
        </w:rPr>
      </w:pP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48" w:rsidRDefault="00016048">
      <w:r>
        <w:separator/>
      </w:r>
    </w:p>
  </w:endnote>
  <w:endnote w:type="continuationSeparator" w:id="0">
    <w:p w:rsidR="00016048" w:rsidRDefault="0001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48" w:rsidRDefault="00016048">
      <w:r>
        <w:separator/>
      </w:r>
    </w:p>
  </w:footnote>
  <w:footnote w:type="continuationSeparator" w:id="0">
    <w:p w:rsidR="00016048" w:rsidRDefault="00016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9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3"/>
  </w:num>
  <w:num w:numId="12">
    <w:abstractNumId w:val="10"/>
  </w:num>
  <w:num w:numId="13">
    <w:abstractNumId w:val="21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4"/>
  </w:num>
  <w:num w:numId="22">
    <w:abstractNumId w:val="19"/>
  </w:num>
  <w:num w:numId="23">
    <w:abstractNumId w:val="18"/>
  </w:num>
  <w:num w:numId="24">
    <w:abstractNumId w:val="8"/>
  </w:num>
  <w:num w:numId="25">
    <w:abstractNumId w:val="4"/>
  </w:num>
  <w:num w:numId="26">
    <w:abstractNumId w:val="1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E0DA9"/>
    <w:rsid w:val="003E7B8D"/>
    <w:rsid w:val="00407DE9"/>
    <w:rsid w:val="00450CAE"/>
    <w:rsid w:val="00464557"/>
    <w:rsid w:val="004820E6"/>
    <w:rsid w:val="00485A21"/>
    <w:rsid w:val="004A391A"/>
    <w:rsid w:val="004B4AB0"/>
    <w:rsid w:val="004D5727"/>
    <w:rsid w:val="004E3BF7"/>
    <w:rsid w:val="004E77A5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551"/>
    <w:rsid w:val="00C756E0"/>
    <w:rsid w:val="00C75F76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526D4"/>
    <w:rsid w:val="00F64DE7"/>
    <w:rsid w:val="00FA1450"/>
    <w:rsid w:val="00FB229E"/>
    <w:rsid w:val="00FC367E"/>
    <w:rsid w:val="00FC657C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2016-02-15T20:34:00Z</dcterms:created>
  <dcterms:modified xsi:type="dcterms:W3CDTF">2016-02-15T20:34:00Z</dcterms:modified>
</cp:coreProperties>
</file>