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B2B7E" w:rsidRDefault="00780577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to Teach and How to Get Children to Learn Early Language Skills</w:t>
      </w:r>
    </w:p>
    <w:p w:rsidR="006660BF" w:rsidRDefault="00780577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24-25</w:t>
      </w:r>
      <w:r w:rsidR="006660BF">
        <w:rPr>
          <w:b/>
          <w:sz w:val="36"/>
          <w:szCs w:val="36"/>
        </w:rPr>
        <w:t>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780577" w:rsidRDefault="00780577" w:rsidP="00780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to Teach and How to Get Children to Learn Early Language Skills</w:t>
      </w:r>
    </w:p>
    <w:p w:rsidR="00780577" w:rsidRDefault="00780577" w:rsidP="00780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24-25, 2015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6660BF" w:rsidRDefault="006660BF" w:rsidP="006660BF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6660BF" w:rsidRPr="006660BF" w:rsidRDefault="006660BF" w:rsidP="006660BF">
      <w:pPr>
        <w:pStyle w:val="ListParagraph"/>
        <w:numPr>
          <w:ilvl w:val="1"/>
          <w:numId w:val="27"/>
        </w:numPr>
        <w:contextualSpacing/>
      </w:pPr>
      <w:r w:rsidRPr="006660BF">
        <w:t>Core vocabulary is made up of easily pictured concepts such as people, places or things.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6660BF" w:rsidRDefault="006660BF" w:rsidP="006660BF"/>
    <w:p w:rsidR="006660BF" w:rsidRDefault="006660BF" w:rsidP="006660BF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6660BF" w:rsidRPr="006660BF" w:rsidRDefault="006660BF" w:rsidP="006660BF">
      <w:pPr>
        <w:pStyle w:val="ListParagraph"/>
        <w:numPr>
          <w:ilvl w:val="1"/>
          <w:numId w:val="27"/>
        </w:numPr>
        <w:contextualSpacing/>
      </w:pPr>
      <w:r w:rsidRPr="006660BF">
        <w:t>Primary Iconicity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6660BF" w:rsidRDefault="006660BF" w:rsidP="006660BF"/>
    <w:p w:rsidR="006660BF" w:rsidRDefault="006660BF" w:rsidP="006660BF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6660BF" w:rsidRPr="006660BF" w:rsidRDefault="006660BF" w:rsidP="006660BF">
      <w:pPr>
        <w:pStyle w:val="ListParagraph"/>
        <w:numPr>
          <w:ilvl w:val="1"/>
          <w:numId w:val="27"/>
        </w:numPr>
        <w:contextualSpacing/>
      </w:pPr>
      <w:r w:rsidRPr="006660BF">
        <w:t>Language-based displays have vocabulary that supports communication in all environments.</w:t>
      </w:r>
    </w:p>
    <w:p w:rsidR="006660BF" w:rsidRDefault="006660BF" w:rsidP="006660BF"/>
    <w:p w:rsidR="006660BF" w:rsidRDefault="006660BF" w:rsidP="006660BF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6660BF" w:rsidRPr="006660BF" w:rsidRDefault="006660BF" w:rsidP="006660BF">
      <w:pPr>
        <w:pStyle w:val="ListParagraph"/>
        <w:numPr>
          <w:ilvl w:val="1"/>
          <w:numId w:val="27"/>
        </w:numPr>
        <w:contextualSpacing/>
      </w:pPr>
      <w:r w:rsidRPr="006660BF">
        <w:t xml:space="preserve">Typical language development along with consideration of individual client needs and good clinical judgment provides an effective organization for language intervention with these children.  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6660BF" w:rsidRDefault="006660BF" w:rsidP="006660BF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780577" w:rsidRDefault="00780577" w:rsidP="00780577">
      <w:pPr>
        <w:pStyle w:val="ListParagraph"/>
        <w:ind w:left="1440"/>
        <w:contextualSpacing/>
      </w:pPr>
    </w:p>
    <w:p w:rsidR="006660BF" w:rsidRDefault="006660BF" w:rsidP="006660BF"/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lastRenderedPageBreak/>
        <w:t>B. F. Skinner defines verbal behavior as: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One person expressing an intention that another person share attention with her to some third entity.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Any movement in any form that achieves its effect (i.e., operates) on the environment through the behavior of some other person.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The construction of subject-verb-object utterances.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When a person can speak with meaning and purpose.</w:t>
      </w:r>
    </w:p>
    <w:p w:rsidR="00780577" w:rsidRDefault="00780577" w:rsidP="00780577">
      <w:pPr>
        <w:pStyle w:val="ListParagraph"/>
        <w:ind w:left="1440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B. F. Skinner’s four primary elementary verbal relations are: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Verb islands, imitative learning, entrenchment, and abstraction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Pointing, conventional gestures, intentions and shared attention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 xml:space="preserve">Echoic, </w:t>
      </w:r>
      <w:proofErr w:type="spellStart"/>
      <w:r w:rsidRPr="00780577">
        <w:t>Mand</w:t>
      </w:r>
      <w:proofErr w:type="spellEnd"/>
      <w:r w:rsidRPr="00780577">
        <w:t xml:space="preserve">, Tact, and </w:t>
      </w:r>
      <w:proofErr w:type="spellStart"/>
      <w:r w:rsidRPr="00780577">
        <w:t>Intraverbal</w:t>
      </w:r>
      <w:proofErr w:type="spellEnd"/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 xml:space="preserve">John, Paul, George and </w:t>
      </w:r>
      <w:proofErr w:type="spellStart"/>
      <w:r>
        <w:t>Ringo</w:t>
      </w:r>
      <w:proofErr w:type="spellEnd"/>
    </w:p>
    <w:p w:rsidR="00780577" w:rsidRDefault="00780577" w:rsidP="00780577"/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proofErr w:type="spellStart"/>
      <w:r>
        <w:t>Tiemann’s</w:t>
      </w:r>
      <w:proofErr w:type="spellEnd"/>
      <w:r>
        <w:t xml:space="preserve"> and </w:t>
      </w:r>
      <w:proofErr w:type="spellStart"/>
      <w:r>
        <w:t>Markle’s</w:t>
      </w:r>
      <w:proofErr w:type="spellEnd"/>
      <w:r>
        <w:t xml:space="preserve"> Learner Outcome Table is comprised of three types of learning relations: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Imprinting, spatial cognition, and language development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Psychomotor (the How), Simple Cognitive (the When), and Complex Cognitive (the WOW)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Prescriptive, descriptive, and proscriptive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Ginger Baker, Jack Bruce, and Eric Clapton</w:t>
      </w:r>
    </w:p>
    <w:p w:rsidR="00780577" w:rsidRDefault="00780577" w:rsidP="00780577">
      <w:pPr>
        <w:pStyle w:val="ListParagraph"/>
        <w:ind w:left="1440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Psychomotor or Differentiated Relations include the following basic, linked, and combined relations: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Pointing, Gesturing, and Pressing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Deductive, Inductive, and Productive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Crosby, Stills and Nash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Single Responses, Chains and Kinesthetic Repertoires</w:t>
      </w:r>
    </w:p>
    <w:p w:rsidR="00780577" w:rsidRDefault="00780577" w:rsidP="00780577">
      <w:pPr>
        <w:pStyle w:val="ListParagraph"/>
        <w:ind w:left="1440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A concept is defined as: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A single unit where each something possesses key properties that cause us to treat all these things alike, even though at the same time, there are differences among these stimuli.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 xml:space="preserve">The movement of a person or of a person’s body part </w:t>
      </w:r>
      <w:proofErr w:type="spellStart"/>
      <w:proofErr w:type="gramStart"/>
      <w:r>
        <w:t>ina</w:t>
      </w:r>
      <w:proofErr w:type="spellEnd"/>
      <w:proofErr w:type="gramEnd"/>
      <w:r>
        <w:t xml:space="preserve"> frame of reference provided by the person or by various external objects or fields.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 xml:space="preserve">The learner’s differentiation between all the things </w:t>
      </w:r>
      <w:proofErr w:type="gramStart"/>
      <w:r>
        <w:t>that are</w:t>
      </w:r>
      <w:proofErr w:type="gramEnd"/>
      <w:r>
        <w:t xml:space="preserve"> included in a set.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The learner’s use of the same response for a new example.</w:t>
      </w:r>
    </w:p>
    <w:p w:rsidR="00780577" w:rsidRDefault="00780577" w:rsidP="00780577">
      <w:pPr>
        <w:pStyle w:val="ListParagraph"/>
        <w:ind w:left="1440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A concept has two types of attributes, including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Sedimentary and Igneous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Critical and Variable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Mandatory and Optional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Cognitive and Psychomotor</w:t>
      </w:r>
    </w:p>
    <w:p w:rsidR="00780577" w:rsidRDefault="00780577" w:rsidP="00780577">
      <w:pPr>
        <w:pStyle w:val="ListParagraph"/>
        <w:ind w:left="1440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The ability to do something without conscious thought.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780577" w:rsidRDefault="00780577" w:rsidP="00780577">
      <w:pPr>
        <w:pStyle w:val="ListParagraph"/>
        <w:ind w:left="1440"/>
        <w:contextualSpacing/>
      </w:pPr>
    </w:p>
    <w:p w:rsidR="00780577" w:rsidRDefault="00780577" w:rsidP="00780577">
      <w:pPr>
        <w:pStyle w:val="ListParagraph"/>
      </w:pPr>
      <w:bookmarkStart w:id="0" w:name="_GoBack"/>
      <w:bookmarkEnd w:id="0"/>
    </w:p>
    <w:p w:rsidR="00780577" w:rsidRDefault="00780577" w:rsidP="00780577">
      <w:pPr>
        <w:pStyle w:val="ListParagraph"/>
      </w:pPr>
    </w:p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It was developed to describe the degree to which students who use AAC interact with their peers in the general education classroom.</w:t>
      </w:r>
    </w:p>
    <w:p w:rsidR="00780577" w:rsidRPr="00780577" w:rsidRDefault="00780577" w:rsidP="00780577"/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Curriculum words are programmed into the AAC device weekly.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780577" w:rsidRDefault="00780577" w:rsidP="00780577"/>
    <w:p w:rsidR="00780577" w:rsidRDefault="00780577" w:rsidP="00780577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780577" w:rsidRPr="00780577" w:rsidRDefault="00780577" w:rsidP="00780577">
      <w:pPr>
        <w:pStyle w:val="ListParagraph"/>
        <w:numPr>
          <w:ilvl w:val="1"/>
          <w:numId w:val="27"/>
        </w:numPr>
        <w:contextualSpacing/>
      </w:pPr>
      <w:r w:rsidRPr="00780577">
        <w:t>Descriptive teaching of curriculum concepts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780577" w:rsidRDefault="00780577" w:rsidP="00780577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780577" w:rsidRDefault="00780577" w:rsidP="00780577">
      <w:pPr>
        <w:pStyle w:val="ListParagraph"/>
      </w:pPr>
    </w:p>
    <w:p w:rsidR="006660BF" w:rsidRDefault="006660BF" w:rsidP="006660BF">
      <w:pPr>
        <w:pStyle w:val="ListParagraph"/>
      </w:pPr>
    </w:p>
    <w:p w:rsidR="006660BF" w:rsidRDefault="006660BF" w:rsidP="006660BF"/>
    <w:p w:rsidR="00671785" w:rsidRDefault="00671785" w:rsidP="00671785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9" w:rsidRDefault="003768E9">
      <w:r>
        <w:separator/>
      </w:r>
    </w:p>
  </w:endnote>
  <w:endnote w:type="continuationSeparator" w:id="0">
    <w:p w:rsidR="003768E9" w:rsidRDefault="0037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9" w:rsidRDefault="003768E9">
      <w:r>
        <w:separator/>
      </w:r>
    </w:p>
  </w:footnote>
  <w:footnote w:type="continuationSeparator" w:id="0">
    <w:p w:rsidR="003768E9" w:rsidRDefault="00376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B1394"/>
    <w:rsid w:val="00104CDA"/>
    <w:rsid w:val="00124040"/>
    <w:rsid w:val="0017649D"/>
    <w:rsid w:val="001C0F19"/>
    <w:rsid w:val="001F09C6"/>
    <w:rsid w:val="0020055F"/>
    <w:rsid w:val="0027491E"/>
    <w:rsid w:val="00285A0E"/>
    <w:rsid w:val="002E014E"/>
    <w:rsid w:val="00311FCF"/>
    <w:rsid w:val="003202E8"/>
    <w:rsid w:val="003768E9"/>
    <w:rsid w:val="00407DE9"/>
    <w:rsid w:val="00450CAE"/>
    <w:rsid w:val="004512FA"/>
    <w:rsid w:val="00454896"/>
    <w:rsid w:val="00464557"/>
    <w:rsid w:val="004A391A"/>
    <w:rsid w:val="004B4F10"/>
    <w:rsid w:val="005256F3"/>
    <w:rsid w:val="00550DF3"/>
    <w:rsid w:val="0056227D"/>
    <w:rsid w:val="005839D8"/>
    <w:rsid w:val="00597A61"/>
    <w:rsid w:val="005D2F77"/>
    <w:rsid w:val="005E4C65"/>
    <w:rsid w:val="005E7B78"/>
    <w:rsid w:val="00645D6A"/>
    <w:rsid w:val="006660BF"/>
    <w:rsid w:val="00671785"/>
    <w:rsid w:val="00772BA0"/>
    <w:rsid w:val="00780577"/>
    <w:rsid w:val="00784CD3"/>
    <w:rsid w:val="00787B9C"/>
    <w:rsid w:val="007B2B7E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A22125"/>
    <w:rsid w:val="00A227F9"/>
    <w:rsid w:val="00A35226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D228F6"/>
    <w:rsid w:val="00D328FD"/>
    <w:rsid w:val="00DB2E0F"/>
    <w:rsid w:val="00DB388F"/>
    <w:rsid w:val="00DE00A0"/>
    <w:rsid w:val="00DE5D53"/>
    <w:rsid w:val="00E00CE0"/>
    <w:rsid w:val="00E132CE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2015-08-24T18:22:00Z</dcterms:created>
  <dcterms:modified xsi:type="dcterms:W3CDTF">2015-08-24T18:22:00Z</dcterms:modified>
</cp:coreProperties>
</file>