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78" w:rsidRDefault="007B2B7E" w:rsidP="005E7B78">
      <w:pPr>
        <w:jc w:val="center"/>
        <w:rPr>
          <w:b/>
          <w:sz w:val="32"/>
        </w:rPr>
      </w:pPr>
      <w:r>
        <w:rPr>
          <w:b/>
          <w:sz w:val="32"/>
        </w:rPr>
        <w:t>[EVENT INFORMATION]</w:t>
      </w:r>
    </w:p>
    <w:p w:rsidR="007B2B7E" w:rsidRDefault="007B2B7E" w:rsidP="005E7B78">
      <w:pPr>
        <w:jc w:val="center"/>
        <w:rPr>
          <w:b/>
          <w:sz w:val="32"/>
        </w:rPr>
      </w:pPr>
    </w:p>
    <w:p w:rsidR="007B2B7E" w:rsidRDefault="007B2B7E" w:rsidP="005E7B78">
      <w:pPr>
        <w:jc w:val="center"/>
        <w:rPr>
          <w:b/>
          <w:sz w:val="32"/>
        </w:rPr>
      </w:pPr>
      <w:r>
        <w:rPr>
          <w:b/>
          <w:sz w:val="32"/>
        </w:rPr>
        <w:t>[EVENT DATE]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 xml:space="preserve">to </w:t>
      </w:r>
      <w:r w:rsidR="00407DE9">
        <w:t xml:space="preserve"> master</w:t>
      </w:r>
      <w:proofErr w:type="gramEnd"/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proofErr w:type="gramStart"/>
      <w:r>
        <w:t>ability</w:t>
      </w:r>
      <w:proofErr w:type="gramEnd"/>
      <w:r>
        <w:t xml:space="preserve"> to collect data and measure outcomes </w:t>
      </w:r>
    </w:p>
    <w:p w:rsidR="00787B9C" w:rsidRDefault="00787B9C" w:rsidP="00104CDA">
      <w:pPr>
        <w:ind w:left="360"/>
      </w:pPr>
      <w:proofErr w:type="gramStart"/>
      <w:r>
        <w:t>as</w:t>
      </w:r>
      <w:proofErr w:type="gramEnd"/>
      <w:r>
        <w:t xml:space="preserve">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7B2B7E" w:rsidRDefault="007B2B7E" w:rsidP="00A6573C">
      <w:pPr>
        <w:pStyle w:val="Title"/>
        <w:ind w:left="-90" w:right="-270"/>
        <w:rPr>
          <w:sz w:val="32"/>
        </w:rPr>
      </w:pPr>
      <w:r>
        <w:rPr>
          <w:sz w:val="32"/>
        </w:rPr>
        <w:lastRenderedPageBreak/>
        <w:t>[EVENT INFORMATION]</w:t>
      </w:r>
    </w:p>
    <w:p w:rsidR="007B2B7E" w:rsidRDefault="007B2B7E" w:rsidP="00A6573C">
      <w:pPr>
        <w:pStyle w:val="Title"/>
        <w:ind w:left="-90" w:right="-270"/>
        <w:rPr>
          <w:sz w:val="32"/>
        </w:rPr>
      </w:pPr>
    </w:p>
    <w:p w:rsidR="007B2B7E" w:rsidRDefault="007B2B7E" w:rsidP="00A6573C">
      <w:pPr>
        <w:pStyle w:val="Title"/>
        <w:ind w:left="-90" w:right="-270"/>
        <w:rPr>
          <w:sz w:val="32"/>
        </w:rPr>
      </w:pPr>
      <w:r>
        <w:rPr>
          <w:sz w:val="32"/>
        </w:rPr>
        <w:t>[EVENT DATE]</w:t>
      </w: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5E7B78">
        <w:rPr>
          <w:sz w:val="32"/>
        </w:rPr>
        <w:br/>
      </w: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F448E2" w:rsidRPr="00104CDA" w:rsidRDefault="00F448E2" w:rsidP="00A6573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 xml:space="preserve">Participant must score an 80% or higher in order to receive </w:t>
      </w:r>
      <w:proofErr w:type="spellStart"/>
      <w:r>
        <w:rPr>
          <w:sz w:val="40"/>
          <w:szCs w:val="40"/>
        </w:rPr>
        <w:t>ceus</w:t>
      </w:r>
      <w:proofErr w:type="spellEnd"/>
      <w:r>
        <w:rPr>
          <w:sz w:val="40"/>
          <w:szCs w:val="40"/>
        </w:rPr>
        <w:t>.</w:t>
      </w:r>
    </w:p>
    <w:p w:rsidR="00124040" w:rsidRPr="0017649D" w:rsidRDefault="0017649D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questions:</w:t>
      </w:r>
    </w:p>
    <w:p w:rsidR="00124040" w:rsidRPr="0017649D" w:rsidRDefault="00124040">
      <w:pPr>
        <w:rPr>
          <w:sz w:val="22"/>
          <w:szCs w:val="22"/>
        </w:rPr>
      </w:pPr>
    </w:p>
    <w:p w:rsidR="00645D6A" w:rsidRPr="0017649D" w:rsidRDefault="00645D6A" w:rsidP="00645D6A">
      <w:pPr>
        <w:rPr>
          <w:sz w:val="22"/>
          <w:szCs w:val="22"/>
        </w:rPr>
      </w:pPr>
    </w:p>
    <w:p w:rsidR="00104CDA" w:rsidRPr="00931CD6" w:rsidRDefault="00104CDA" w:rsidP="00104CDA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What procedure is not related to an individual’s ability or skill needed to benefit from using eye gaze or BCI as an alternative access method?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The presence of Nystagmus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Infrared exposure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User’s ability to maintain position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User’s ability to maintain attention and focus</w:t>
      </w:r>
    </w:p>
    <w:p w:rsidR="00104CDA" w:rsidRPr="00931CD6" w:rsidRDefault="00104CDA" w:rsidP="00104CDA">
      <w:pPr>
        <w:pStyle w:val="ListParagraph"/>
        <w:ind w:left="1440"/>
        <w:rPr>
          <w:sz w:val="28"/>
          <w:szCs w:val="28"/>
        </w:rPr>
      </w:pPr>
    </w:p>
    <w:p w:rsidR="00104CDA" w:rsidRPr="00931CD6" w:rsidRDefault="00104CDA" w:rsidP="00104CDA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What step is essential in order to obtain funding approval for an eye gaze access Speech Generating Device (SGD)?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Obtaining a letter of medical necessity from the primary care physician.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Using the AAC manufacturer’s funding template to complete the SGD funding request.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Including user satisfaction data for the eye gaze system.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Having a 30 trial for the recommended eye gaze system.</w:t>
      </w:r>
    </w:p>
    <w:p w:rsidR="00104CDA" w:rsidRPr="00931CD6" w:rsidRDefault="00104CDA" w:rsidP="00104CDA">
      <w:pPr>
        <w:pStyle w:val="ListParagraph"/>
        <w:ind w:left="1440"/>
        <w:rPr>
          <w:sz w:val="28"/>
          <w:szCs w:val="28"/>
        </w:rPr>
      </w:pPr>
    </w:p>
    <w:p w:rsidR="00104CDA" w:rsidRPr="00931CD6" w:rsidRDefault="00104CDA" w:rsidP="00104CDA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Identify one barrier that can be controlled to improve an individual’s learning trajectory for using eye gaze or BCI as an alternative access method.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The patient’s visual acuity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The patient’s attitude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The caregiver’s experience with eye gaze access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Distance from the eye gaze camera</w:t>
      </w:r>
    </w:p>
    <w:p w:rsidR="00104CDA" w:rsidRPr="00931CD6" w:rsidRDefault="00104CDA" w:rsidP="00104CDA">
      <w:pPr>
        <w:pStyle w:val="ListParagraph"/>
        <w:ind w:left="1440"/>
        <w:rPr>
          <w:sz w:val="28"/>
          <w:szCs w:val="28"/>
        </w:rPr>
      </w:pPr>
    </w:p>
    <w:p w:rsidR="00104CDA" w:rsidRPr="00931CD6" w:rsidRDefault="00104CDA" w:rsidP="00104CDA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 w:rsidRPr="00931CD6">
        <w:rPr>
          <w:sz w:val="28"/>
          <w:szCs w:val="28"/>
        </w:rPr>
        <w:t xml:space="preserve">What item would be the most accurate specific characteristic and consideration to assess when recommending eye-gaze access for patients with </w:t>
      </w:r>
      <w:proofErr w:type="spellStart"/>
      <w:r w:rsidRPr="00931CD6">
        <w:rPr>
          <w:sz w:val="28"/>
          <w:szCs w:val="28"/>
        </w:rPr>
        <w:t>Rett</w:t>
      </w:r>
      <w:proofErr w:type="spellEnd"/>
      <w:r w:rsidRPr="00931CD6">
        <w:rPr>
          <w:sz w:val="28"/>
          <w:szCs w:val="28"/>
        </w:rPr>
        <w:t xml:space="preserve"> Syndrome, ALS or Cerebral Palsy?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Whether the patient falls under the Capped Rental rule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931CD6">
        <w:rPr>
          <w:sz w:val="28"/>
          <w:szCs w:val="28"/>
        </w:rPr>
        <w:lastRenderedPageBreak/>
        <w:t>The user’s language abilities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Only face-to-face communication, since email communication will not be an available option.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Whether a system operator is available for support</w:t>
      </w:r>
    </w:p>
    <w:p w:rsidR="00104CDA" w:rsidRPr="00931CD6" w:rsidRDefault="00104CDA" w:rsidP="00104CDA">
      <w:pPr>
        <w:ind w:left="720"/>
        <w:rPr>
          <w:sz w:val="28"/>
          <w:szCs w:val="28"/>
        </w:rPr>
      </w:pPr>
    </w:p>
    <w:p w:rsidR="00104CDA" w:rsidRPr="00931CD6" w:rsidRDefault="00104CDA" w:rsidP="00104CDA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What two (2) performance measures best represent an individual’s effectiveness in using eye gaze or BCI as a control interface?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Mean length of utterance AND total number of words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Spelling skills AND selection rate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Accuracy AND selection rate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Mean length of utterance AND accuracy</w:t>
      </w:r>
    </w:p>
    <w:p w:rsidR="00104CDA" w:rsidRPr="00931CD6" w:rsidRDefault="00104CDA" w:rsidP="00104CDA">
      <w:pPr>
        <w:rPr>
          <w:sz w:val="28"/>
          <w:szCs w:val="28"/>
        </w:rPr>
      </w:pPr>
    </w:p>
    <w:p w:rsidR="00104CDA" w:rsidRPr="00931CD6" w:rsidRDefault="00104CDA" w:rsidP="00104CDA">
      <w:pPr>
        <w:pStyle w:val="ListParagraph"/>
        <w:ind w:left="1440"/>
        <w:rPr>
          <w:sz w:val="28"/>
          <w:szCs w:val="28"/>
        </w:rPr>
      </w:pPr>
    </w:p>
    <w:p w:rsidR="00104CDA" w:rsidRPr="00931CD6" w:rsidRDefault="00104CDA" w:rsidP="00104CDA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Which manufacturer offers an eye gaze system with a movable camera?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LC Technologies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proofErr w:type="spellStart"/>
      <w:r w:rsidRPr="00931CD6">
        <w:rPr>
          <w:sz w:val="28"/>
          <w:szCs w:val="28"/>
        </w:rPr>
        <w:t>Tobii</w:t>
      </w:r>
      <w:proofErr w:type="spellEnd"/>
    </w:p>
    <w:p w:rsidR="00104CDA" w:rsidRPr="00931CD6" w:rsidRDefault="00104CDA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proofErr w:type="spellStart"/>
      <w:r w:rsidRPr="00931CD6">
        <w:rPr>
          <w:sz w:val="28"/>
          <w:szCs w:val="28"/>
        </w:rPr>
        <w:t>Prentke</w:t>
      </w:r>
      <w:proofErr w:type="spellEnd"/>
      <w:r w:rsidRPr="00931CD6">
        <w:rPr>
          <w:sz w:val="28"/>
          <w:szCs w:val="28"/>
        </w:rPr>
        <w:t xml:space="preserve"> </w:t>
      </w:r>
      <w:proofErr w:type="spellStart"/>
      <w:r w:rsidRPr="00931CD6">
        <w:rPr>
          <w:sz w:val="28"/>
          <w:szCs w:val="28"/>
        </w:rPr>
        <w:t>Romich</w:t>
      </w:r>
      <w:proofErr w:type="spellEnd"/>
      <w:r w:rsidRPr="00931CD6">
        <w:rPr>
          <w:sz w:val="28"/>
          <w:szCs w:val="28"/>
        </w:rPr>
        <w:t xml:space="preserve"> Company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proofErr w:type="spellStart"/>
      <w:r w:rsidRPr="00931CD6">
        <w:rPr>
          <w:sz w:val="28"/>
          <w:szCs w:val="28"/>
        </w:rPr>
        <w:t>Dynavox</w:t>
      </w:r>
      <w:proofErr w:type="spellEnd"/>
    </w:p>
    <w:p w:rsidR="00104CDA" w:rsidRPr="00931CD6" w:rsidRDefault="00104CDA" w:rsidP="00104CDA">
      <w:pPr>
        <w:rPr>
          <w:sz w:val="28"/>
          <w:szCs w:val="28"/>
        </w:rPr>
      </w:pPr>
    </w:p>
    <w:p w:rsidR="00104CDA" w:rsidRPr="00931CD6" w:rsidRDefault="00104CDA" w:rsidP="00104CDA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Which two features of high-performance speech-generating devices (SGDs) will CMS policies discontinue funding for Medicare beneficiaries who are hospitalized, placed in skilled nursing facilities or hospice care?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Training and voice output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Language activity monitoring and eye-gaze access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Internet access and e-mail capability</w:t>
      </w:r>
    </w:p>
    <w:p w:rsidR="00104CDA" w:rsidRPr="00931CD6" w:rsidRDefault="00104CDA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931CD6">
        <w:rPr>
          <w:sz w:val="28"/>
          <w:szCs w:val="28"/>
        </w:rPr>
        <w:t>Environmental controls and computer access</w:t>
      </w:r>
    </w:p>
    <w:p w:rsidR="00104CDA" w:rsidRDefault="00104CDA" w:rsidP="00104CDA"/>
    <w:p w:rsidR="00645D6A" w:rsidRPr="0017649D" w:rsidRDefault="00645D6A" w:rsidP="00645D6A">
      <w:pPr>
        <w:rPr>
          <w:sz w:val="22"/>
          <w:szCs w:val="22"/>
        </w:rPr>
        <w:sectPr w:rsidR="00645D6A" w:rsidRPr="0017649D" w:rsidSect="00645D6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124040" w:rsidRDefault="00124040">
      <w:pPr>
        <w:rPr>
          <w:sz w:val="22"/>
        </w:rPr>
      </w:pPr>
      <w:r>
        <w:rPr>
          <w:sz w:val="22"/>
        </w:rPr>
        <w:br w:type="column"/>
      </w:r>
    </w:p>
    <w:p w:rsidR="00124040" w:rsidRDefault="00124040"/>
    <w:p w:rsidR="00772BA0" w:rsidRDefault="00772BA0"/>
    <w:p w:rsidR="00124040" w:rsidRDefault="00124040"/>
    <w:p w:rsidR="00E00CE0" w:rsidRDefault="00E00CE0">
      <w:pPr>
        <w:sectPr w:rsidR="00E00CE0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:rsidR="001F09C6" w:rsidRDefault="001F09C6">
      <w:pPr>
        <w:tabs>
          <w:tab w:val="left" w:pos="9270"/>
        </w:tabs>
      </w:pPr>
    </w:p>
    <w:p w:rsidR="001F09C6" w:rsidRDefault="001F09C6">
      <w:pPr>
        <w:tabs>
          <w:tab w:val="left" w:pos="9270"/>
        </w:tabs>
      </w:pPr>
    </w:p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E4" w:rsidRDefault="00F12AE4">
      <w:r>
        <w:separator/>
      </w:r>
    </w:p>
  </w:endnote>
  <w:endnote w:type="continuationSeparator" w:id="0">
    <w:p w:rsidR="00F12AE4" w:rsidRDefault="00F1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D5" w:rsidRDefault="002839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72" w:rsidRDefault="00B45F72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Revised 12/1/2015</w:t>
    </w:r>
  </w:p>
  <w:p w:rsidR="00B45F72" w:rsidRDefault="00B45F72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Approved </w:t>
    </w:r>
    <w:r>
      <w:rPr>
        <w:noProof/>
        <w:color w:val="404040" w:themeColor="text1" w:themeTint="BF"/>
      </w:rPr>
      <w:t>12/14/2015</w:t>
    </w:r>
    <w:bookmarkStart w:id="0" w:name="_GoBack"/>
    <w:bookmarkEnd w:id="0"/>
  </w:p>
  <w:p w:rsidR="002839D5" w:rsidRDefault="002839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D5" w:rsidRDefault="00283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E4" w:rsidRDefault="00F12AE4">
      <w:r>
        <w:separator/>
      </w:r>
    </w:p>
  </w:footnote>
  <w:footnote w:type="continuationSeparator" w:id="0">
    <w:p w:rsidR="00F12AE4" w:rsidRDefault="00F1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D5" w:rsidRDefault="002839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919172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D5" w:rsidRDefault="002839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919173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D5" w:rsidRDefault="002839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919171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B1394"/>
    <w:rsid w:val="00104CDA"/>
    <w:rsid w:val="00124040"/>
    <w:rsid w:val="0017649D"/>
    <w:rsid w:val="001F09C6"/>
    <w:rsid w:val="0020055F"/>
    <w:rsid w:val="0027491E"/>
    <w:rsid w:val="002839D5"/>
    <w:rsid w:val="002E014E"/>
    <w:rsid w:val="00311FCF"/>
    <w:rsid w:val="00407DE9"/>
    <w:rsid w:val="00450CAE"/>
    <w:rsid w:val="00464557"/>
    <w:rsid w:val="004A391A"/>
    <w:rsid w:val="00550DF3"/>
    <w:rsid w:val="0056227D"/>
    <w:rsid w:val="00597A61"/>
    <w:rsid w:val="005E4C65"/>
    <w:rsid w:val="005E7B78"/>
    <w:rsid w:val="00645D6A"/>
    <w:rsid w:val="00772BA0"/>
    <w:rsid w:val="00787B9C"/>
    <w:rsid w:val="007B2B7E"/>
    <w:rsid w:val="007D78A7"/>
    <w:rsid w:val="00896EF9"/>
    <w:rsid w:val="008F122F"/>
    <w:rsid w:val="008F63E0"/>
    <w:rsid w:val="00903AB3"/>
    <w:rsid w:val="00931CD6"/>
    <w:rsid w:val="009773AD"/>
    <w:rsid w:val="00995694"/>
    <w:rsid w:val="009D47A4"/>
    <w:rsid w:val="00A35226"/>
    <w:rsid w:val="00A6573C"/>
    <w:rsid w:val="00A81AB5"/>
    <w:rsid w:val="00AC3520"/>
    <w:rsid w:val="00AD0202"/>
    <w:rsid w:val="00B14B46"/>
    <w:rsid w:val="00B27210"/>
    <w:rsid w:val="00B45F72"/>
    <w:rsid w:val="00B50F0F"/>
    <w:rsid w:val="00BA7BED"/>
    <w:rsid w:val="00BD14E9"/>
    <w:rsid w:val="00C52AB3"/>
    <w:rsid w:val="00CE5ACD"/>
    <w:rsid w:val="00D328FD"/>
    <w:rsid w:val="00DE5D53"/>
    <w:rsid w:val="00E00CE0"/>
    <w:rsid w:val="00E132CE"/>
    <w:rsid w:val="00EC4D1A"/>
    <w:rsid w:val="00EE04DB"/>
    <w:rsid w:val="00F01F60"/>
    <w:rsid w:val="00F12AE4"/>
    <w:rsid w:val="00F37E70"/>
    <w:rsid w:val="00F448E2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F1B6E8F9-C354-44FD-AF3C-4F5F03C4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283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9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01D5-9A28-4349-A11F-EB14171D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2016-04-27T20:27:00Z</dcterms:created>
  <dcterms:modified xsi:type="dcterms:W3CDTF">2016-04-27T20:27:00Z</dcterms:modified>
</cp:coreProperties>
</file>